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D4" w:rsidRPr="000742E3" w:rsidRDefault="002375D4" w:rsidP="002375D4">
      <w:pPr>
        <w:pStyle w:val="2"/>
        <w:rPr>
          <w:rFonts w:ascii="方正粗宋简体" w:eastAsia="方正粗宋简体"/>
        </w:rPr>
      </w:pPr>
      <w:bookmarkStart w:id="0" w:name="_Toc398440838"/>
      <w:r w:rsidRPr="000742E3">
        <w:rPr>
          <w:rFonts w:ascii="方正粗宋简体" w:eastAsia="方正粗宋简体" w:hint="eastAsia"/>
        </w:rPr>
        <w:t>起重机表面涂装</w:t>
      </w:r>
      <w:bookmarkEnd w:id="0"/>
    </w:p>
    <w:p w:rsidR="002375D4" w:rsidRPr="00AC4504" w:rsidRDefault="002375D4" w:rsidP="002375D4">
      <w:pPr>
        <w:spacing w:line="360" w:lineRule="auto"/>
        <w:ind w:firstLineChars="200" w:firstLine="482"/>
        <w:jc w:val="left"/>
        <w:rPr>
          <w:rFonts w:ascii="宋体" w:hAnsi="宋体"/>
          <w:b/>
          <w:sz w:val="24"/>
          <w:szCs w:val="24"/>
        </w:rPr>
      </w:pPr>
      <w:r w:rsidRPr="00AC4504">
        <w:rPr>
          <w:rFonts w:ascii="宋体" w:hAnsi="宋体" w:hint="eastAsia"/>
          <w:b/>
          <w:sz w:val="24"/>
          <w:szCs w:val="24"/>
        </w:rPr>
        <w:t>1、表面预处理</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 xml:space="preserve">  纽科伦公司拥有钢板抛丸机，可对钢板进行抛丸预处理，，钢板预处理后喷涂底漆；公司还拥有梁盒抛丸机，可对高度1.7米，宽度1米以内的梁盒进行整体抛丸除锈处理；钢结构经抛丸除锈处理，表面达GB8923-88或相应标准（SIS）的Sa2.5级。表面预处理主要分为钢材预处理和结构件制作完成后、整体涂装之前的表面预处理。</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1.1</w:t>
      </w:r>
      <w:r w:rsidRPr="00AC4504">
        <w:rPr>
          <w:rFonts w:ascii="宋体" w:hAnsi="宋体" w:hint="eastAsia"/>
          <w:b/>
          <w:sz w:val="24"/>
          <w:szCs w:val="24"/>
        </w:rPr>
        <w:t>钢材预处理工艺</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1.1.1  预处理能力</w:t>
      </w:r>
    </w:p>
    <w:p w:rsidR="002375D4" w:rsidRPr="00AC4504" w:rsidRDefault="002375D4" w:rsidP="002375D4">
      <w:pPr>
        <w:spacing w:line="360" w:lineRule="auto"/>
        <w:ind w:firstLineChars="200" w:firstLine="480"/>
        <w:jc w:val="left"/>
        <w:rPr>
          <w:rFonts w:ascii="宋体" w:hAnsi="宋体"/>
          <w:sz w:val="24"/>
          <w:szCs w:val="24"/>
          <w:highlight w:val="yellow"/>
        </w:rPr>
      </w:pPr>
      <w:r w:rsidRPr="00AC4504">
        <w:rPr>
          <w:rFonts w:ascii="宋体" w:hAnsi="宋体" w:hint="eastAsia"/>
          <w:sz w:val="24"/>
          <w:szCs w:val="24"/>
        </w:rPr>
        <w:t>1.1.1.1预处理钢材规格</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 xml:space="preserve">    A、钢板：宽度≤</w:t>
      </w:r>
      <w:r>
        <w:rPr>
          <w:rFonts w:ascii="宋体" w:hAnsi="宋体" w:hint="eastAsia"/>
          <w:sz w:val="24"/>
          <w:szCs w:val="24"/>
        </w:rPr>
        <w:t xml:space="preserve">3000mm  </w:t>
      </w:r>
      <w:r w:rsidRPr="00AC4504">
        <w:rPr>
          <w:rFonts w:ascii="宋体" w:hAnsi="宋体" w:hint="eastAsia"/>
          <w:sz w:val="24"/>
          <w:szCs w:val="24"/>
        </w:rPr>
        <w:t xml:space="preserve"> 长度≤12000mm</w:t>
      </w:r>
      <w:r>
        <w:rPr>
          <w:rFonts w:ascii="宋体" w:hAnsi="宋体" w:hint="eastAsia"/>
          <w:sz w:val="24"/>
          <w:szCs w:val="24"/>
        </w:rPr>
        <w:t xml:space="preserve">    </w:t>
      </w:r>
      <w:r w:rsidRPr="00AC4504">
        <w:rPr>
          <w:rFonts w:ascii="宋体" w:hAnsi="宋体" w:hint="eastAsia"/>
          <w:sz w:val="24"/>
          <w:szCs w:val="24"/>
        </w:rPr>
        <w:t xml:space="preserve"> B、型材：长度≤12000mm</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 xml:space="preserve">    辊道最大负荷：1000kg/m</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1.1.1.2 运输速度</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 xml:space="preserve">    辊道运输速度：0.5-4.0m/min运输工件速度：1.0-2.5m/min</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1.1.2  除锈工艺</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 xml:space="preserve">    抛丸的参数选择和设置主要根据钢材的规格和锈蚀情况进行的，合理的抛丸参数既能达到除锈的目的，又能节约成本。</w:t>
      </w:r>
    </w:p>
    <w:p w:rsidR="002375D4" w:rsidRPr="00AC4504" w:rsidRDefault="002375D4" w:rsidP="002375D4">
      <w:pPr>
        <w:spacing w:line="360" w:lineRule="auto"/>
        <w:ind w:firstLineChars="200" w:firstLine="482"/>
        <w:jc w:val="left"/>
        <w:rPr>
          <w:rFonts w:ascii="宋体" w:hAnsi="宋体"/>
          <w:sz w:val="24"/>
          <w:szCs w:val="24"/>
        </w:rPr>
      </w:pPr>
      <w:r w:rsidRPr="00AC4504">
        <w:rPr>
          <w:rFonts w:ascii="宋体" w:hAnsi="宋体" w:hint="eastAsia"/>
          <w:b/>
          <w:sz w:val="24"/>
          <w:szCs w:val="24"/>
        </w:rPr>
        <w:t>2</w:t>
      </w:r>
      <w:r w:rsidRPr="00AC4504">
        <w:rPr>
          <w:rFonts w:ascii="宋体" w:hAnsi="宋体" w:hint="eastAsia"/>
          <w:sz w:val="24"/>
          <w:szCs w:val="24"/>
        </w:rPr>
        <w:t xml:space="preserve"> </w:t>
      </w:r>
      <w:r w:rsidRPr="00AC4504">
        <w:rPr>
          <w:rFonts w:ascii="宋体" w:hAnsi="宋体" w:hint="eastAsia"/>
          <w:b/>
          <w:sz w:val="24"/>
          <w:szCs w:val="24"/>
        </w:rPr>
        <w:t>、 工艺要求</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处理后表面无锈迹、氧化皮、铁屑等杂物，平整呈钢灰色，抛丸等级为Sa2.5。</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2.1预处理喷漆工艺</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 xml:space="preserve">    预处理底漆作用是在产品制作期间保证钢材不发生锈蚀。主要考虑与喷涂底漆的配套性和产品制作时间。为了保证钢材预处理的效率，预处理底漆必须具有快干性特点。</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2.2 油漆种类的选择</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公司常用车间底漆有两种：醇酸铁红底漆，环氧富锌底漆。</w:t>
      </w:r>
    </w:p>
    <w:p w:rsidR="002375D4" w:rsidRPr="00AC4504" w:rsidRDefault="002375D4" w:rsidP="002375D4">
      <w:pPr>
        <w:spacing w:line="360" w:lineRule="auto"/>
        <w:ind w:firstLineChars="200" w:firstLine="482"/>
        <w:jc w:val="left"/>
        <w:rPr>
          <w:rFonts w:ascii="宋体" w:hAnsi="宋体"/>
          <w:b/>
          <w:sz w:val="24"/>
          <w:szCs w:val="24"/>
        </w:rPr>
      </w:pPr>
      <w:r w:rsidRPr="00AC4504">
        <w:rPr>
          <w:rFonts w:ascii="宋体" w:hAnsi="宋体" w:hint="eastAsia"/>
          <w:b/>
          <w:sz w:val="24"/>
          <w:szCs w:val="24"/>
        </w:rPr>
        <w:t>3、涂装前表面预处理</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3.2.1 因金属结构件在制作过程中不可避免的会有灰尘、油污和焊渣等杂质，所以在涂装前，必须进行表面清理。</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3.2.2 钢铁表面预处理的质量控制是防腐涂层的最关键环节。</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lastRenderedPageBreak/>
        <w:t>3.2.3结构件表面预处理要求：钢结构经抛丸除锈处理，表面达GB8923-88或相应标准（SIS）的Sa2.5级。目测无明显氧化皮、锈迹、油污、凸点、焊渣、水迹、飞溅、灰尘等杂质，用手触摸无明显粗糙不平。采用手工除锈部分达到GB8923中的St3级。</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3.2.4 若有凸凹不平、有碍外观处均应涂刮腻子，打磨后方可涂漆；所有机加工件应无毛刺、飞边等，各处锐角要求磨成圆滑状，对边角等不易喷涂到的部位预涂。</w:t>
      </w:r>
    </w:p>
    <w:p w:rsidR="002375D4" w:rsidRPr="00AC4504" w:rsidRDefault="002375D4" w:rsidP="002375D4">
      <w:pPr>
        <w:spacing w:line="360" w:lineRule="auto"/>
        <w:ind w:firstLineChars="200" w:firstLine="482"/>
        <w:jc w:val="left"/>
        <w:rPr>
          <w:rFonts w:ascii="宋体" w:hAnsi="宋体"/>
          <w:b/>
          <w:sz w:val="24"/>
          <w:szCs w:val="24"/>
        </w:rPr>
      </w:pPr>
      <w:r w:rsidRPr="00AC4504">
        <w:rPr>
          <w:rFonts w:ascii="宋体" w:hAnsi="宋体" w:hint="eastAsia"/>
          <w:b/>
          <w:sz w:val="24"/>
          <w:szCs w:val="24"/>
        </w:rPr>
        <w:t>4、 涂装施工</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4.3.1 涂装施工环境要求</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4.3.1.1 涂装施工时要钢材表面状况和大气环境要求：钢材表面温度高于露点（附录G）温度以上3℃，相对湿度在85%以下。大风及雨雪天气或钢材表面受雨水或冰雪的影响时，应禁止施工，如涂料说明书另有规定时，则按其要求施工。</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4.3.1.2 施工温度：涂装的最佳施工温度为18～25℃，湿度为45～60%，所以应尽量在此种环境下施工。 在气温低于5℃的低温条件下，环氧类的固化反应已经停止，不能施工。</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4.3.1.3涂装作业应在光线充足的清洁环境中进行，避免未干的油漆涂层被灰尘等污染。</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4.3.2 涂装前处理</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3.3.2.1 涂装前应对结构件的表面进行预处理，表面预处理与涂装之间的间隔时间应尽可能缩短。潮湿或工业大气环境条件下，应在2小时内涂装完毕；晴天或湿度不大的条件下，最长不应超过6小时。</w:t>
      </w:r>
    </w:p>
    <w:p w:rsidR="002375D4" w:rsidRPr="00AC4504" w:rsidRDefault="002375D4" w:rsidP="002375D4">
      <w:pPr>
        <w:spacing w:line="360" w:lineRule="auto"/>
        <w:ind w:firstLineChars="200" w:firstLine="480"/>
        <w:jc w:val="left"/>
        <w:rPr>
          <w:rFonts w:ascii="宋体" w:hAnsi="宋体"/>
          <w:sz w:val="24"/>
          <w:szCs w:val="24"/>
        </w:rPr>
      </w:pPr>
      <w:r w:rsidRPr="00AC4504">
        <w:rPr>
          <w:rFonts w:ascii="宋体" w:hAnsi="宋体" w:hint="eastAsia"/>
          <w:sz w:val="24"/>
          <w:szCs w:val="24"/>
        </w:rPr>
        <w:t>4.3.2.2 涂刷时使用的工具应根据涂料的物理性能、施工条件和被涂结构件的形状进行选择。</w:t>
      </w:r>
    </w:p>
    <w:p w:rsidR="002375D4" w:rsidRPr="00AC4504" w:rsidRDefault="002375D4" w:rsidP="002375D4">
      <w:pPr>
        <w:spacing w:line="360" w:lineRule="auto"/>
        <w:ind w:firstLineChars="200" w:firstLine="482"/>
        <w:jc w:val="left"/>
        <w:rPr>
          <w:rFonts w:ascii="宋体" w:hAnsi="宋体"/>
          <w:b/>
          <w:sz w:val="24"/>
          <w:szCs w:val="24"/>
        </w:rPr>
      </w:pPr>
      <w:r w:rsidRPr="00AC4504">
        <w:rPr>
          <w:rFonts w:ascii="宋体" w:hAnsi="宋体" w:hint="eastAsia"/>
          <w:b/>
          <w:sz w:val="24"/>
          <w:szCs w:val="24"/>
        </w:rPr>
        <w:t>5、油漆漆膜厚度要求</w:t>
      </w:r>
    </w:p>
    <w:p w:rsidR="002375D4" w:rsidRPr="00AC4504" w:rsidRDefault="002375D4" w:rsidP="002375D4">
      <w:pPr>
        <w:spacing w:line="360" w:lineRule="auto"/>
        <w:ind w:firstLineChars="200" w:firstLine="480"/>
        <w:jc w:val="left"/>
        <w:rPr>
          <w:rFonts w:ascii="宋体" w:hAnsi="宋体"/>
          <w:b/>
          <w:sz w:val="24"/>
          <w:szCs w:val="24"/>
        </w:rPr>
      </w:pPr>
      <w:r w:rsidRPr="00AC4504">
        <w:rPr>
          <w:rFonts w:ascii="宋体" w:hAnsi="宋体" w:hint="eastAsia"/>
          <w:sz w:val="24"/>
          <w:szCs w:val="24"/>
        </w:rPr>
        <w:t>漆膜厚度应该达到的标准和规定要求。厚度检验方法参照GB1764。电动单梁，通用桥、门式起重机（GB/T14406和GB/T 14405），每层厚度25-35µm，漆膜总厚度为75-105µm；冶金起重机技术条件（JB/T 7688.1），每层厚度25-30µm，两层底漆厚度50-60µm，然后两层面漆，每层厚度35-45µm，漆膜总厚度不小于</w:t>
      </w:r>
      <w:r w:rsidRPr="00AC4504">
        <w:rPr>
          <w:rFonts w:ascii="宋体" w:hAnsi="宋体" w:hint="eastAsia"/>
          <w:sz w:val="24"/>
          <w:szCs w:val="24"/>
        </w:rPr>
        <w:lastRenderedPageBreak/>
        <w:t>120µm，如有特殊要求，按照相关文件和合同执行</w:t>
      </w:r>
    </w:p>
    <w:p w:rsidR="00E7517A" w:rsidRPr="00AC4504" w:rsidRDefault="00E7517A" w:rsidP="00E7517A">
      <w:pPr>
        <w:spacing w:line="360" w:lineRule="auto"/>
        <w:ind w:firstLineChars="200" w:firstLine="482"/>
        <w:jc w:val="left"/>
        <w:rPr>
          <w:rFonts w:ascii="宋体" w:hAnsi="宋体"/>
          <w:b/>
          <w:sz w:val="24"/>
          <w:szCs w:val="24"/>
        </w:rPr>
      </w:pPr>
      <w:r w:rsidRPr="00AC4504">
        <w:rPr>
          <w:rFonts w:ascii="宋体" w:hAnsi="宋体" w:hint="eastAsia"/>
          <w:b/>
          <w:sz w:val="24"/>
          <w:szCs w:val="24"/>
        </w:rPr>
        <w:t>6、电动葫芦涂装：</w:t>
      </w:r>
    </w:p>
    <w:p w:rsidR="00E7517A" w:rsidRPr="00AC4504" w:rsidRDefault="00E7517A" w:rsidP="00E7517A">
      <w:pPr>
        <w:spacing w:line="360" w:lineRule="auto"/>
        <w:ind w:firstLineChars="200" w:firstLine="480"/>
        <w:jc w:val="left"/>
        <w:rPr>
          <w:rFonts w:ascii="宋体" w:hAnsi="宋体"/>
          <w:sz w:val="24"/>
          <w:szCs w:val="24"/>
        </w:rPr>
      </w:pPr>
      <w:r w:rsidRPr="00AC4504">
        <w:rPr>
          <w:rFonts w:ascii="宋体" w:hAnsi="宋体" w:hint="eastAsia"/>
          <w:sz w:val="24"/>
          <w:szCs w:val="24"/>
        </w:rPr>
        <w:t>6.1电动葫芦预处理能力</w:t>
      </w:r>
    </w:p>
    <w:p w:rsidR="00E7517A" w:rsidRPr="00AC4504" w:rsidRDefault="00E7517A" w:rsidP="00E7517A">
      <w:pPr>
        <w:spacing w:line="360" w:lineRule="auto"/>
        <w:ind w:firstLineChars="200" w:firstLine="482"/>
        <w:jc w:val="left"/>
        <w:rPr>
          <w:rFonts w:ascii="宋体" w:hAnsi="宋体"/>
          <w:sz w:val="24"/>
          <w:szCs w:val="24"/>
        </w:rPr>
      </w:pPr>
      <w:r w:rsidRPr="00AC4504">
        <w:rPr>
          <w:rFonts w:ascii="宋体" w:hAnsi="宋体" w:hint="eastAsia"/>
          <w:b/>
          <w:sz w:val="24"/>
          <w:szCs w:val="24"/>
        </w:rPr>
        <w:t xml:space="preserve"> </w:t>
      </w:r>
      <w:r w:rsidRPr="00AC4504">
        <w:rPr>
          <w:rFonts w:ascii="宋体" w:hAnsi="宋体" w:hint="eastAsia"/>
          <w:sz w:val="24"/>
          <w:szCs w:val="24"/>
        </w:rPr>
        <w:t>公司有专门针对电动葫芦的抛丸机。</w:t>
      </w:r>
    </w:p>
    <w:p w:rsidR="00E7517A" w:rsidRPr="00AC4504" w:rsidRDefault="00E7517A" w:rsidP="00E7517A">
      <w:pPr>
        <w:spacing w:line="360" w:lineRule="auto"/>
        <w:ind w:firstLineChars="200" w:firstLine="480"/>
        <w:jc w:val="left"/>
        <w:rPr>
          <w:rFonts w:ascii="宋体" w:hAnsi="宋体"/>
          <w:sz w:val="24"/>
          <w:szCs w:val="24"/>
          <w:lang w:val="en-GB"/>
        </w:rPr>
      </w:pPr>
      <w:r w:rsidRPr="00AC4504">
        <w:rPr>
          <w:rFonts w:ascii="宋体" w:hAnsi="宋体" w:hint="eastAsia"/>
          <w:sz w:val="24"/>
          <w:szCs w:val="24"/>
        </w:rPr>
        <w:t>Q3720吊钩式抛丸机</w:t>
      </w:r>
      <w:r w:rsidRPr="00AC4504">
        <w:rPr>
          <w:rFonts w:ascii="宋体" w:hAnsi="宋体" w:hint="eastAsia"/>
          <w:b/>
          <w:sz w:val="24"/>
          <w:szCs w:val="24"/>
        </w:rPr>
        <w:t>：</w:t>
      </w:r>
      <w:r w:rsidRPr="00AC4504">
        <w:rPr>
          <w:rFonts w:ascii="宋体" w:hAnsi="宋体" w:hint="eastAsia"/>
          <w:sz w:val="24"/>
          <w:szCs w:val="24"/>
        </w:rPr>
        <w:t>清理室尺寸：长×宽×高：2800×2800×4300mm</w:t>
      </w:r>
      <w:r w:rsidRPr="00AC4504">
        <w:rPr>
          <w:rFonts w:ascii="宋体" w:hAnsi="宋体" w:hint="eastAsia"/>
          <w:sz w:val="24"/>
          <w:szCs w:val="24"/>
          <w:lang w:val="en-GB"/>
        </w:rPr>
        <w:t xml:space="preserve"> </w:t>
      </w:r>
    </w:p>
    <w:p w:rsidR="00E7517A" w:rsidRPr="00AC4504" w:rsidRDefault="00E7517A" w:rsidP="00E7517A">
      <w:pPr>
        <w:spacing w:line="360" w:lineRule="auto"/>
        <w:ind w:firstLineChars="200" w:firstLine="480"/>
        <w:jc w:val="left"/>
        <w:rPr>
          <w:rFonts w:ascii="宋体" w:hAnsi="宋体"/>
          <w:sz w:val="24"/>
          <w:szCs w:val="24"/>
          <w:lang w:val="en-GB"/>
        </w:rPr>
      </w:pPr>
      <w:r w:rsidRPr="00AC4504">
        <w:rPr>
          <w:rFonts w:ascii="宋体" w:hAnsi="宋体" w:hint="eastAsia"/>
          <w:sz w:val="24"/>
          <w:szCs w:val="24"/>
        </w:rPr>
        <w:t>被清理件尺寸：直径×高：φ2000×3000mm</w:t>
      </w:r>
    </w:p>
    <w:p w:rsidR="00E7517A" w:rsidRPr="00AC4504" w:rsidRDefault="00E7517A" w:rsidP="00E7517A">
      <w:pPr>
        <w:spacing w:line="360" w:lineRule="auto"/>
        <w:ind w:firstLineChars="200" w:firstLine="480"/>
        <w:jc w:val="left"/>
        <w:rPr>
          <w:rFonts w:ascii="宋体" w:hAnsi="宋体"/>
          <w:sz w:val="24"/>
          <w:szCs w:val="24"/>
          <w:lang w:val="en-GB"/>
        </w:rPr>
      </w:pPr>
      <w:r w:rsidRPr="00AC4504">
        <w:rPr>
          <w:rFonts w:ascii="宋体" w:hAnsi="宋体" w:hint="eastAsia"/>
          <w:sz w:val="24"/>
          <w:szCs w:val="24"/>
          <w:lang w:val="en-GB"/>
        </w:rPr>
        <w:t xml:space="preserve">                      吊钩载量：2000kg</w:t>
      </w:r>
    </w:p>
    <w:p w:rsidR="00E7517A" w:rsidRPr="00AC4504" w:rsidRDefault="00E7517A" w:rsidP="00E7517A">
      <w:pPr>
        <w:spacing w:line="360" w:lineRule="auto"/>
        <w:ind w:firstLineChars="200" w:firstLine="480"/>
        <w:jc w:val="left"/>
        <w:rPr>
          <w:rFonts w:ascii="宋体" w:hAnsi="宋体"/>
          <w:sz w:val="24"/>
          <w:szCs w:val="24"/>
          <w:lang w:val="en-GB"/>
        </w:rPr>
      </w:pPr>
      <w:r w:rsidRPr="00AC4504">
        <w:rPr>
          <w:rFonts w:ascii="宋体" w:hAnsi="宋体" w:hint="eastAsia"/>
          <w:sz w:val="24"/>
          <w:szCs w:val="24"/>
          <w:lang w:val="en-GB"/>
        </w:rPr>
        <w:t>对葫芦外罩进行抛丸预处理，</w:t>
      </w:r>
      <w:r w:rsidRPr="00AC4504">
        <w:rPr>
          <w:rFonts w:ascii="宋体" w:hAnsi="宋体" w:hint="eastAsia"/>
          <w:sz w:val="24"/>
          <w:szCs w:val="24"/>
        </w:rPr>
        <w:t>钢结构经抛丸除锈处理，表面达GB8923-88或相应标准（SIS）的Sa2.5级。</w:t>
      </w:r>
    </w:p>
    <w:p w:rsidR="00E7517A" w:rsidRPr="00AC4504" w:rsidRDefault="00E7517A" w:rsidP="00E7517A">
      <w:pPr>
        <w:spacing w:line="360" w:lineRule="auto"/>
        <w:ind w:firstLineChars="200" w:firstLine="480"/>
        <w:jc w:val="left"/>
        <w:rPr>
          <w:rFonts w:ascii="宋体" w:hAnsi="宋体"/>
          <w:sz w:val="24"/>
          <w:szCs w:val="24"/>
        </w:rPr>
      </w:pPr>
      <w:r w:rsidRPr="00AC4504">
        <w:rPr>
          <w:rFonts w:ascii="宋体" w:hAnsi="宋体" w:hint="eastAsia"/>
          <w:sz w:val="24"/>
          <w:szCs w:val="24"/>
        </w:rPr>
        <w:t>6.2 ND葫芦表面涂装</w:t>
      </w:r>
    </w:p>
    <w:p w:rsidR="00E7517A" w:rsidRPr="00AC4504" w:rsidRDefault="00E7517A" w:rsidP="00E7517A">
      <w:pPr>
        <w:spacing w:line="360" w:lineRule="auto"/>
        <w:ind w:firstLineChars="200" w:firstLine="482"/>
        <w:jc w:val="left"/>
        <w:rPr>
          <w:rFonts w:ascii="宋体" w:hAnsi="宋体"/>
          <w:sz w:val="24"/>
          <w:szCs w:val="24"/>
        </w:rPr>
      </w:pPr>
      <w:r w:rsidRPr="00AC4504">
        <w:rPr>
          <w:rFonts w:ascii="宋体" w:hAnsi="宋体" w:hint="eastAsia"/>
          <w:b/>
          <w:sz w:val="24"/>
          <w:szCs w:val="24"/>
        </w:rPr>
        <w:t xml:space="preserve"> </w:t>
      </w:r>
      <w:r w:rsidRPr="00AC4504">
        <w:rPr>
          <w:rFonts w:ascii="宋体" w:hAnsi="宋体" w:hint="eastAsia"/>
          <w:sz w:val="24"/>
          <w:szCs w:val="24"/>
        </w:rPr>
        <w:t>6.2.1 ND葫芦表面涂装要求。</w:t>
      </w:r>
    </w:p>
    <w:p w:rsidR="00E7517A" w:rsidRPr="00AC4504" w:rsidRDefault="00E7517A" w:rsidP="00E7517A">
      <w:pPr>
        <w:spacing w:line="360" w:lineRule="auto"/>
        <w:ind w:firstLineChars="200" w:firstLine="480"/>
        <w:jc w:val="left"/>
        <w:rPr>
          <w:rFonts w:ascii="宋体" w:hAnsi="宋体"/>
          <w:sz w:val="24"/>
          <w:szCs w:val="24"/>
          <w:lang w:val="en-GB"/>
        </w:rPr>
      </w:pPr>
      <w:r w:rsidRPr="00AC4504">
        <w:rPr>
          <w:rFonts w:ascii="宋体" w:hAnsi="宋体" w:hint="eastAsia"/>
          <w:sz w:val="24"/>
          <w:szCs w:val="24"/>
        </w:rPr>
        <w:t xml:space="preserve">       对ND葫芦零部件进行抛丸处理后进行喷漆，钢结构经抛丸除锈处理，表面达GB8923-88或相应标准（SIS）的Sa2.5级。ND葫芦采用</w:t>
      </w:r>
      <w:r w:rsidRPr="00AC4504">
        <w:rPr>
          <w:rFonts w:ascii="宋体" w:hAnsi="宋体"/>
          <w:sz w:val="24"/>
          <w:szCs w:val="24"/>
        </w:rPr>
        <w:t>RAL9006</w:t>
      </w:r>
      <w:r w:rsidRPr="00AC4504">
        <w:rPr>
          <w:rFonts w:ascii="宋体" w:hAnsi="宋体" w:hint="eastAsia"/>
          <w:sz w:val="24"/>
          <w:szCs w:val="24"/>
        </w:rPr>
        <w:t>（银色），RAL9004（黑色），RAL1023（信号黄）三种颜色涂装，油漆采用环氧富锌，丙烯酸聚氨酯。对零部件进行涂装后再进行组装ND葫芦，这样的方式保证了ND葫芦的涂装质量。</w:t>
      </w:r>
    </w:p>
    <w:p w:rsidR="00E7517A" w:rsidRPr="00AC4504" w:rsidRDefault="00E7517A" w:rsidP="00E7517A">
      <w:pPr>
        <w:spacing w:line="360" w:lineRule="auto"/>
        <w:ind w:firstLineChars="200" w:firstLine="480"/>
        <w:jc w:val="left"/>
        <w:rPr>
          <w:rFonts w:ascii="宋体" w:hAnsi="宋体"/>
          <w:sz w:val="24"/>
          <w:szCs w:val="24"/>
        </w:rPr>
      </w:pPr>
      <w:r w:rsidRPr="00AC4504">
        <w:rPr>
          <w:rFonts w:ascii="宋体" w:hAnsi="宋体" w:hint="eastAsia"/>
          <w:sz w:val="24"/>
          <w:szCs w:val="24"/>
        </w:rPr>
        <w:t>注：1、漆膜平均厚度不小于50um。</w:t>
      </w:r>
    </w:p>
    <w:p w:rsidR="00E7517A" w:rsidRPr="00AC4504" w:rsidRDefault="00E7517A" w:rsidP="00E7517A">
      <w:pPr>
        <w:spacing w:line="360" w:lineRule="auto"/>
        <w:ind w:firstLineChars="200" w:firstLine="480"/>
        <w:jc w:val="left"/>
        <w:rPr>
          <w:rFonts w:ascii="宋体" w:hAnsi="宋体"/>
          <w:sz w:val="24"/>
          <w:szCs w:val="24"/>
        </w:rPr>
      </w:pPr>
      <w:r w:rsidRPr="00AC4504">
        <w:rPr>
          <w:rFonts w:ascii="宋体" w:hAnsi="宋体" w:hint="eastAsia"/>
          <w:sz w:val="24"/>
          <w:szCs w:val="24"/>
        </w:rPr>
        <w:t>2、 电动葫芦涂装具体工艺可参照以上涂装工艺要求。</w:t>
      </w:r>
    </w:p>
    <w:p w:rsidR="00E7517A" w:rsidRPr="00AC4504" w:rsidRDefault="00E7517A" w:rsidP="00E7517A">
      <w:pPr>
        <w:spacing w:line="360" w:lineRule="auto"/>
        <w:ind w:firstLineChars="200" w:firstLine="482"/>
        <w:jc w:val="left"/>
        <w:rPr>
          <w:rFonts w:ascii="宋体" w:hAnsi="宋体"/>
          <w:b/>
          <w:sz w:val="24"/>
          <w:szCs w:val="24"/>
        </w:rPr>
      </w:pPr>
      <w:r w:rsidRPr="00AC4504">
        <w:rPr>
          <w:rFonts w:ascii="宋体" w:hAnsi="宋体" w:hint="eastAsia"/>
          <w:b/>
          <w:sz w:val="24"/>
          <w:szCs w:val="24"/>
        </w:rPr>
        <w:t>7.3 成品检验</w:t>
      </w:r>
    </w:p>
    <w:p w:rsidR="00E7517A" w:rsidRPr="00AC4504" w:rsidRDefault="00E7517A" w:rsidP="00E7517A">
      <w:pPr>
        <w:spacing w:line="360" w:lineRule="auto"/>
        <w:ind w:firstLineChars="200" w:firstLine="480"/>
        <w:jc w:val="left"/>
        <w:rPr>
          <w:rFonts w:ascii="宋体" w:hAnsi="宋体"/>
          <w:sz w:val="24"/>
          <w:szCs w:val="24"/>
        </w:rPr>
      </w:pPr>
      <w:r w:rsidRPr="00AC4504">
        <w:rPr>
          <w:rFonts w:ascii="宋体" w:hAnsi="宋体" w:hint="eastAsia"/>
          <w:sz w:val="24"/>
          <w:szCs w:val="24"/>
        </w:rPr>
        <w:t>7.3.1 起重机面漆应均匀、细致、光亮、完整和色泽一致，不得有粗糙不平、漏漆、错漆、皱纹、针孔及严重流挂等缺陷。</w:t>
      </w:r>
    </w:p>
    <w:p w:rsidR="00E7517A" w:rsidRPr="00AC4504" w:rsidRDefault="00E7517A" w:rsidP="00E7517A">
      <w:pPr>
        <w:spacing w:line="360" w:lineRule="auto"/>
        <w:ind w:firstLineChars="200" w:firstLine="480"/>
        <w:jc w:val="left"/>
        <w:rPr>
          <w:rFonts w:ascii="宋体" w:hAnsi="宋体"/>
          <w:sz w:val="24"/>
          <w:szCs w:val="24"/>
        </w:rPr>
      </w:pPr>
      <w:r w:rsidRPr="00AC4504">
        <w:rPr>
          <w:rFonts w:ascii="宋体" w:hAnsi="宋体" w:hint="eastAsia"/>
          <w:sz w:val="24"/>
          <w:szCs w:val="24"/>
        </w:rPr>
        <w:t>7.3.2 涂膜固化干燥后应进行干膜厚度测定。80%以上测点的厚度应达到设计厚度；没有达到设计厚度的测点，其最低厚度应不低于设计厚度的80%。测定方法见附录H</w:t>
      </w:r>
    </w:p>
    <w:p w:rsidR="00E7517A" w:rsidRPr="00AC4504" w:rsidRDefault="00E7517A" w:rsidP="00E7517A">
      <w:pPr>
        <w:spacing w:line="360" w:lineRule="auto"/>
        <w:ind w:firstLineChars="200" w:firstLine="480"/>
        <w:jc w:val="left"/>
        <w:rPr>
          <w:rFonts w:ascii="宋体" w:hAnsi="宋体"/>
          <w:sz w:val="24"/>
          <w:szCs w:val="24"/>
        </w:rPr>
      </w:pPr>
      <w:r w:rsidRPr="00AC4504">
        <w:rPr>
          <w:rFonts w:ascii="宋体" w:hAnsi="宋体" w:hint="eastAsia"/>
          <w:sz w:val="24"/>
          <w:szCs w:val="24"/>
        </w:rPr>
        <w:t>7.3.3 漆膜厚度应该达到的标准和规定要求。厚度检验方法参照GB1764。电动单梁，通用桥、门式起重机（GB/T14406和GB/T 14405），每层厚度25-35µm，漆膜总厚度为75-105µm；冶金起重机技术条件（JB/T 7688.1），每层厚度25-30µm，两层底漆厚度50-60µm，然后两层面漆，每层厚度35-45µm，漆膜总厚度不小于120µm，如有特殊要求，按照相关文件和合同执行。</w:t>
      </w:r>
    </w:p>
    <w:p w:rsidR="00E7517A" w:rsidRPr="00AC4504" w:rsidRDefault="00E7517A" w:rsidP="00E7517A">
      <w:pPr>
        <w:spacing w:line="360" w:lineRule="auto"/>
        <w:ind w:firstLineChars="200" w:firstLine="480"/>
        <w:jc w:val="left"/>
        <w:rPr>
          <w:rFonts w:ascii="宋体" w:hAnsi="宋体"/>
          <w:sz w:val="24"/>
          <w:szCs w:val="24"/>
        </w:rPr>
      </w:pPr>
      <w:r w:rsidRPr="00AC4504">
        <w:rPr>
          <w:rFonts w:ascii="宋体" w:hAnsi="宋体" w:hint="eastAsia"/>
          <w:sz w:val="24"/>
          <w:szCs w:val="24"/>
        </w:rPr>
        <w:lastRenderedPageBreak/>
        <w:t>7.3.4 漆膜厚度附着力检查</w:t>
      </w:r>
    </w:p>
    <w:p w:rsidR="00E7517A" w:rsidRPr="00AC4504" w:rsidRDefault="00E7517A" w:rsidP="00E7517A">
      <w:pPr>
        <w:spacing w:line="360" w:lineRule="auto"/>
        <w:ind w:firstLineChars="200" w:firstLine="480"/>
        <w:jc w:val="left"/>
        <w:rPr>
          <w:rFonts w:ascii="宋体" w:hAnsi="宋体"/>
          <w:sz w:val="24"/>
          <w:szCs w:val="24"/>
        </w:rPr>
      </w:pPr>
      <w:r w:rsidRPr="00AC4504">
        <w:rPr>
          <w:rFonts w:ascii="宋体" w:hAnsi="宋体" w:hint="eastAsia"/>
          <w:sz w:val="24"/>
          <w:szCs w:val="24"/>
        </w:rPr>
        <w:t xml:space="preserve">     当漆膜厚度＞120µm时，在涂层上划二条夹角为60°的切割线，应划透涂层至基底，用胶带粘牢划口部分，然后沿垂直方向快速撕起胶带，涂层应无剥落。当涂层厚度＜120µm时，可用划格法检查，其方法及判断见GB9286《色漆和清漆划格实验》。本试验宜作带样试验，如在工件上进行检查，应选择非重要部位，测试后立即补涂。</w:t>
      </w:r>
    </w:p>
    <w:p w:rsidR="00E7517A" w:rsidRPr="00AC4504" w:rsidRDefault="00E7517A" w:rsidP="00E7517A">
      <w:pPr>
        <w:spacing w:line="360" w:lineRule="auto"/>
        <w:ind w:firstLineChars="200" w:firstLine="480"/>
        <w:jc w:val="left"/>
        <w:rPr>
          <w:rFonts w:ascii="宋体" w:hAnsi="宋体" w:hint="eastAsia"/>
          <w:sz w:val="24"/>
          <w:szCs w:val="24"/>
        </w:rPr>
      </w:pPr>
      <w:r w:rsidRPr="00AC4504">
        <w:rPr>
          <w:rFonts w:ascii="宋体" w:hAnsi="宋体" w:hint="eastAsia"/>
          <w:sz w:val="24"/>
          <w:szCs w:val="24"/>
        </w:rPr>
        <w:t xml:space="preserve">   此方法也允许用于评价涂膜中各涂层间的抗分离能力。</w:t>
      </w:r>
    </w:p>
    <w:p w:rsidR="00E7517A" w:rsidRPr="00AC4504" w:rsidRDefault="00E7517A" w:rsidP="00E7517A">
      <w:pPr>
        <w:spacing w:line="276" w:lineRule="auto"/>
        <w:ind w:firstLineChars="200" w:firstLine="482"/>
        <w:jc w:val="center"/>
        <w:rPr>
          <w:rFonts w:ascii="宋体" w:hAnsi="宋体"/>
          <w:b/>
          <w:sz w:val="24"/>
          <w:szCs w:val="24"/>
          <w:lang w:val="en-GB"/>
        </w:rPr>
      </w:pPr>
      <w:r w:rsidRPr="00AC4504">
        <w:rPr>
          <w:rFonts w:ascii="宋体" w:hAnsi="宋体" w:hint="eastAsia"/>
          <w:b/>
          <w:sz w:val="24"/>
          <w:szCs w:val="24"/>
        </w:rPr>
        <w:t>配套油漆参考</w:t>
      </w:r>
    </w:p>
    <w:p w:rsidR="00E7517A" w:rsidRPr="00AC4504" w:rsidRDefault="00E7517A" w:rsidP="00E7517A">
      <w:pPr>
        <w:spacing w:line="276" w:lineRule="auto"/>
        <w:ind w:firstLineChars="200" w:firstLine="482"/>
        <w:jc w:val="left"/>
        <w:rPr>
          <w:rFonts w:ascii="宋体" w:hAnsi="宋体"/>
          <w:b/>
          <w:sz w:val="24"/>
          <w:szCs w:val="24"/>
          <w:lang w:val="en-GB"/>
        </w:rPr>
      </w:pPr>
      <w:r w:rsidRPr="00AC4504">
        <w:rPr>
          <w:rFonts w:ascii="宋体" w:hAnsi="宋体" w:hint="eastAsia"/>
          <w:b/>
          <w:sz w:val="24"/>
          <w:szCs w:val="24"/>
          <w:lang w:val="en-GB"/>
        </w:rPr>
        <w:t>一般环境</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2099"/>
        <w:gridCol w:w="1594"/>
        <w:gridCol w:w="2233"/>
        <w:gridCol w:w="1729"/>
      </w:tblGrid>
      <w:tr w:rsidR="00E7517A" w:rsidRPr="00AC4504" w:rsidTr="007D269A">
        <w:trPr>
          <w:trHeight w:val="20"/>
          <w:jc w:val="center"/>
        </w:trPr>
        <w:tc>
          <w:tcPr>
            <w:tcW w:w="1701"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底漆</w:t>
            </w:r>
          </w:p>
        </w:tc>
        <w:tc>
          <w:tcPr>
            <w:tcW w:w="2099"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漆膜厚度（μ</w:t>
            </w:r>
            <w:r w:rsidRPr="00AC4504">
              <w:rPr>
                <w:rFonts w:ascii="宋体" w:hAnsi="宋体"/>
                <w:sz w:val="24"/>
                <w:szCs w:val="24"/>
              </w:rPr>
              <w:t>m</w:t>
            </w:r>
            <w:r w:rsidRPr="00AC4504">
              <w:rPr>
                <w:rFonts w:ascii="宋体" w:hAnsi="宋体" w:hint="eastAsia"/>
                <w:sz w:val="24"/>
                <w:szCs w:val="24"/>
              </w:rPr>
              <w:t>）</w:t>
            </w:r>
          </w:p>
        </w:tc>
        <w:tc>
          <w:tcPr>
            <w:tcW w:w="1594"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面漆</w:t>
            </w:r>
          </w:p>
        </w:tc>
        <w:tc>
          <w:tcPr>
            <w:tcW w:w="2233"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漆膜厚度（μ</w:t>
            </w:r>
            <w:r w:rsidRPr="00AC4504">
              <w:rPr>
                <w:rFonts w:ascii="宋体" w:hAnsi="宋体"/>
                <w:sz w:val="24"/>
                <w:szCs w:val="24"/>
              </w:rPr>
              <w:t>m</w:t>
            </w:r>
            <w:r w:rsidRPr="00AC4504">
              <w:rPr>
                <w:rFonts w:ascii="宋体" w:hAnsi="宋体" w:hint="eastAsia"/>
                <w:sz w:val="24"/>
                <w:szCs w:val="24"/>
              </w:rPr>
              <w:t>）</w:t>
            </w:r>
          </w:p>
        </w:tc>
        <w:tc>
          <w:tcPr>
            <w:tcW w:w="1729"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理论年限（年）</w:t>
            </w:r>
          </w:p>
        </w:tc>
      </w:tr>
      <w:tr w:rsidR="00E7517A" w:rsidRPr="00AC4504" w:rsidTr="007D269A">
        <w:trPr>
          <w:trHeight w:val="20"/>
          <w:jc w:val="center"/>
        </w:trPr>
        <w:tc>
          <w:tcPr>
            <w:tcW w:w="1701"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醇酸铁红</w:t>
            </w:r>
          </w:p>
        </w:tc>
        <w:tc>
          <w:tcPr>
            <w:tcW w:w="2099"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25～35</w:t>
            </w:r>
          </w:p>
        </w:tc>
        <w:tc>
          <w:tcPr>
            <w:tcW w:w="1594"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醇酸磁漆</w:t>
            </w:r>
          </w:p>
        </w:tc>
        <w:tc>
          <w:tcPr>
            <w:tcW w:w="2233"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50～70</w:t>
            </w:r>
          </w:p>
        </w:tc>
        <w:tc>
          <w:tcPr>
            <w:tcW w:w="1729"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2-5</w:t>
            </w:r>
          </w:p>
        </w:tc>
      </w:tr>
      <w:tr w:rsidR="00E7517A" w:rsidRPr="00AC4504" w:rsidTr="007D269A">
        <w:trPr>
          <w:trHeight w:val="20"/>
          <w:jc w:val="center"/>
        </w:trPr>
        <w:tc>
          <w:tcPr>
            <w:tcW w:w="1701"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醇酸铁红</w:t>
            </w:r>
          </w:p>
        </w:tc>
        <w:tc>
          <w:tcPr>
            <w:tcW w:w="2099"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60～70</w:t>
            </w:r>
          </w:p>
        </w:tc>
        <w:tc>
          <w:tcPr>
            <w:tcW w:w="1594"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醇酸磁漆</w:t>
            </w:r>
          </w:p>
        </w:tc>
        <w:tc>
          <w:tcPr>
            <w:tcW w:w="2233"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60～70</w:t>
            </w:r>
          </w:p>
        </w:tc>
        <w:tc>
          <w:tcPr>
            <w:tcW w:w="1729"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5-15</w:t>
            </w:r>
          </w:p>
        </w:tc>
      </w:tr>
      <w:tr w:rsidR="00E7517A" w:rsidRPr="00AC4504" w:rsidTr="007D269A">
        <w:trPr>
          <w:trHeight w:val="20"/>
          <w:jc w:val="center"/>
        </w:trPr>
        <w:tc>
          <w:tcPr>
            <w:tcW w:w="1701"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环氧富锌</w:t>
            </w:r>
          </w:p>
        </w:tc>
        <w:tc>
          <w:tcPr>
            <w:tcW w:w="2099"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50～70</w:t>
            </w:r>
          </w:p>
        </w:tc>
        <w:tc>
          <w:tcPr>
            <w:tcW w:w="1594"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氯化橡胶</w:t>
            </w:r>
          </w:p>
        </w:tc>
        <w:tc>
          <w:tcPr>
            <w:tcW w:w="2233"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50～70</w:t>
            </w:r>
          </w:p>
        </w:tc>
        <w:tc>
          <w:tcPr>
            <w:tcW w:w="1729"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15年以上</w:t>
            </w:r>
          </w:p>
        </w:tc>
      </w:tr>
    </w:tbl>
    <w:p w:rsidR="00E7517A" w:rsidRPr="00AC4504" w:rsidRDefault="00E7517A" w:rsidP="00E7517A">
      <w:pPr>
        <w:spacing w:line="276" w:lineRule="auto"/>
        <w:ind w:firstLineChars="200" w:firstLine="482"/>
        <w:jc w:val="left"/>
        <w:rPr>
          <w:rFonts w:ascii="宋体" w:hAnsi="宋体"/>
          <w:b/>
          <w:sz w:val="24"/>
          <w:szCs w:val="24"/>
          <w:lang w:val="en-GB"/>
        </w:rPr>
      </w:pPr>
      <w:r w:rsidRPr="00AC4504">
        <w:rPr>
          <w:rFonts w:ascii="宋体" w:hAnsi="宋体" w:hint="eastAsia"/>
          <w:b/>
          <w:sz w:val="24"/>
          <w:szCs w:val="24"/>
          <w:lang w:val="en-GB"/>
        </w:rPr>
        <w:t>低盐度沿海地区、工业大气环境</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90"/>
        <w:gridCol w:w="1843"/>
        <w:gridCol w:w="2693"/>
        <w:gridCol w:w="1701"/>
        <w:gridCol w:w="1729"/>
      </w:tblGrid>
      <w:tr w:rsidR="00E7517A" w:rsidRPr="00AC4504" w:rsidTr="007D269A">
        <w:trPr>
          <w:trHeight w:val="283"/>
          <w:jc w:val="center"/>
        </w:trPr>
        <w:tc>
          <w:tcPr>
            <w:tcW w:w="1390"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底漆</w:t>
            </w:r>
          </w:p>
        </w:tc>
        <w:tc>
          <w:tcPr>
            <w:tcW w:w="1843"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漆膜厚度（μ</w:t>
            </w:r>
            <w:r w:rsidRPr="00AC4504">
              <w:rPr>
                <w:rFonts w:ascii="宋体" w:hAnsi="宋体"/>
                <w:sz w:val="24"/>
                <w:szCs w:val="24"/>
              </w:rPr>
              <w:t>m</w:t>
            </w:r>
            <w:r w:rsidRPr="00AC4504">
              <w:rPr>
                <w:rFonts w:ascii="宋体" w:hAnsi="宋体" w:hint="eastAsia"/>
                <w:sz w:val="24"/>
                <w:szCs w:val="24"/>
              </w:rPr>
              <w:t>）</w:t>
            </w:r>
          </w:p>
        </w:tc>
        <w:tc>
          <w:tcPr>
            <w:tcW w:w="2693"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面漆</w:t>
            </w:r>
          </w:p>
        </w:tc>
        <w:tc>
          <w:tcPr>
            <w:tcW w:w="1701"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漆膜厚度（μ</w:t>
            </w:r>
            <w:r w:rsidRPr="00AC4504">
              <w:rPr>
                <w:rFonts w:ascii="宋体" w:hAnsi="宋体"/>
                <w:sz w:val="24"/>
                <w:szCs w:val="24"/>
              </w:rPr>
              <w:t>m</w:t>
            </w:r>
            <w:r w:rsidRPr="00AC4504">
              <w:rPr>
                <w:rFonts w:ascii="宋体" w:hAnsi="宋体" w:hint="eastAsia"/>
                <w:sz w:val="24"/>
                <w:szCs w:val="24"/>
              </w:rPr>
              <w:t>）</w:t>
            </w:r>
          </w:p>
        </w:tc>
        <w:tc>
          <w:tcPr>
            <w:tcW w:w="1729"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理论年限（年）</w:t>
            </w:r>
          </w:p>
        </w:tc>
      </w:tr>
      <w:tr w:rsidR="00E7517A" w:rsidRPr="00AC4504" w:rsidTr="007D269A">
        <w:trPr>
          <w:trHeight w:val="283"/>
          <w:jc w:val="center"/>
        </w:trPr>
        <w:tc>
          <w:tcPr>
            <w:tcW w:w="1390"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醇酸铁红</w:t>
            </w:r>
          </w:p>
        </w:tc>
        <w:tc>
          <w:tcPr>
            <w:tcW w:w="1843"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60～70</w:t>
            </w:r>
          </w:p>
        </w:tc>
        <w:tc>
          <w:tcPr>
            <w:tcW w:w="2693"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醇酸磁漆</w:t>
            </w:r>
          </w:p>
        </w:tc>
        <w:tc>
          <w:tcPr>
            <w:tcW w:w="1701"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60～70</w:t>
            </w:r>
          </w:p>
        </w:tc>
        <w:tc>
          <w:tcPr>
            <w:tcW w:w="1729"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2-5</w:t>
            </w:r>
          </w:p>
        </w:tc>
      </w:tr>
      <w:tr w:rsidR="00E7517A" w:rsidRPr="00AC4504" w:rsidTr="007D269A">
        <w:trPr>
          <w:trHeight w:val="283"/>
          <w:jc w:val="center"/>
        </w:trPr>
        <w:tc>
          <w:tcPr>
            <w:tcW w:w="1390"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醇酸铁红</w:t>
            </w:r>
          </w:p>
        </w:tc>
        <w:tc>
          <w:tcPr>
            <w:tcW w:w="1843"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80</w:t>
            </w:r>
          </w:p>
        </w:tc>
        <w:tc>
          <w:tcPr>
            <w:tcW w:w="2693"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醇酸磁漆</w:t>
            </w:r>
          </w:p>
        </w:tc>
        <w:tc>
          <w:tcPr>
            <w:tcW w:w="1701"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80～100</w:t>
            </w:r>
          </w:p>
        </w:tc>
        <w:tc>
          <w:tcPr>
            <w:tcW w:w="1729"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5-15</w:t>
            </w:r>
          </w:p>
        </w:tc>
      </w:tr>
      <w:tr w:rsidR="00E7517A" w:rsidRPr="00AC4504" w:rsidTr="007D269A">
        <w:trPr>
          <w:trHeight w:val="283"/>
          <w:jc w:val="center"/>
        </w:trPr>
        <w:tc>
          <w:tcPr>
            <w:tcW w:w="1390"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环氧富锌</w:t>
            </w:r>
          </w:p>
        </w:tc>
        <w:tc>
          <w:tcPr>
            <w:tcW w:w="1843"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50～70</w:t>
            </w:r>
          </w:p>
        </w:tc>
        <w:tc>
          <w:tcPr>
            <w:tcW w:w="2693"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氯化橡胶或丙烯酸聚氨酯</w:t>
            </w:r>
          </w:p>
        </w:tc>
        <w:tc>
          <w:tcPr>
            <w:tcW w:w="1701"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50～70</w:t>
            </w:r>
          </w:p>
        </w:tc>
        <w:tc>
          <w:tcPr>
            <w:tcW w:w="1729"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5-15</w:t>
            </w:r>
          </w:p>
        </w:tc>
      </w:tr>
      <w:tr w:rsidR="00E7517A" w:rsidRPr="00AC4504" w:rsidTr="007D269A">
        <w:trPr>
          <w:trHeight w:val="283"/>
          <w:jc w:val="center"/>
        </w:trPr>
        <w:tc>
          <w:tcPr>
            <w:tcW w:w="1390"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环氧富锌</w:t>
            </w:r>
          </w:p>
        </w:tc>
        <w:tc>
          <w:tcPr>
            <w:tcW w:w="1843"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50～70</w:t>
            </w:r>
          </w:p>
        </w:tc>
        <w:tc>
          <w:tcPr>
            <w:tcW w:w="2693"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高氯化聚乙烯</w:t>
            </w:r>
          </w:p>
        </w:tc>
        <w:tc>
          <w:tcPr>
            <w:tcW w:w="1701"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50～70</w:t>
            </w:r>
          </w:p>
        </w:tc>
        <w:tc>
          <w:tcPr>
            <w:tcW w:w="1729"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5-15</w:t>
            </w:r>
          </w:p>
        </w:tc>
      </w:tr>
      <w:tr w:rsidR="00E7517A" w:rsidRPr="00AC4504" w:rsidTr="007D269A">
        <w:trPr>
          <w:trHeight w:val="283"/>
          <w:jc w:val="center"/>
        </w:trPr>
        <w:tc>
          <w:tcPr>
            <w:tcW w:w="1390"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环氧富锌</w:t>
            </w:r>
          </w:p>
        </w:tc>
        <w:tc>
          <w:tcPr>
            <w:tcW w:w="1843"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50～70</w:t>
            </w:r>
          </w:p>
        </w:tc>
        <w:tc>
          <w:tcPr>
            <w:tcW w:w="2693"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丙烯酸聚氨酯</w:t>
            </w:r>
          </w:p>
        </w:tc>
        <w:tc>
          <w:tcPr>
            <w:tcW w:w="1701"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80～100</w:t>
            </w:r>
          </w:p>
        </w:tc>
        <w:tc>
          <w:tcPr>
            <w:tcW w:w="1729"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15年以上</w:t>
            </w:r>
          </w:p>
        </w:tc>
      </w:tr>
    </w:tbl>
    <w:p w:rsidR="00E7517A" w:rsidRPr="00AC4504" w:rsidRDefault="00E7517A" w:rsidP="00E7517A">
      <w:pPr>
        <w:spacing w:line="276" w:lineRule="auto"/>
        <w:ind w:firstLineChars="200" w:firstLine="482"/>
        <w:jc w:val="left"/>
        <w:rPr>
          <w:rFonts w:ascii="宋体" w:hAnsi="宋体"/>
          <w:b/>
          <w:sz w:val="24"/>
          <w:szCs w:val="24"/>
          <w:lang w:val="en-GB"/>
        </w:rPr>
      </w:pPr>
      <w:r w:rsidRPr="00AC4504">
        <w:rPr>
          <w:rFonts w:ascii="宋体" w:hAnsi="宋体" w:hint="eastAsia"/>
          <w:b/>
          <w:sz w:val="24"/>
          <w:szCs w:val="24"/>
          <w:lang w:val="en-GB"/>
        </w:rPr>
        <w:t>耐高温油漆</w:t>
      </w:r>
    </w:p>
    <w:tbl>
      <w:tblPr>
        <w:tblW w:w="9356" w:type="dxa"/>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2410"/>
        <w:gridCol w:w="2268"/>
        <w:gridCol w:w="2268"/>
      </w:tblGrid>
      <w:tr w:rsidR="00E7517A" w:rsidRPr="00AC4504" w:rsidTr="007D269A">
        <w:trPr>
          <w:trHeight w:val="283"/>
          <w:jc w:val="center"/>
        </w:trPr>
        <w:tc>
          <w:tcPr>
            <w:tcW w:w="2410"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底漆</w:t>
            </w:r>
          </w:p>
        </w:tc>
        <w:tc>
          <w:tcPr>
            <w:tcW w:w="2410"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漆膜厚度（μ</w:t>
            </w:r>
            <w:r w:rsidRPr="00AC4504">
              <w:rPr>
                <w:rFonts w:ascii="宋体" w:hAnsi="宋体"/>
                <w:sz w:val="24"/>
                <w:szCs w:val="24"/>
              </w:rPr>
              <w:t>m</w:t>
            </w:r>
            <w:r w:rsidRPr="00AC4504">
              <w:rPr>
                <w:rFonts w:ascii="宋体" w:hAnsi="宋体" w:hint="eastAsia"/>
                <w:sz w:val="24"/>
                <w:szCs w:val="24"/>
              </w:rPr>
              <w:t>）</w:t>
            </w:r>
          </w:p>
        </w:tc>
        <w:tc>
          <w:tcPr>
            <w:tcW w:w="2268"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面漆</w:t>
            </w:r>
          </w:p>
        </w:tc>
        <w:tc>
          <w:tcPr>
            <w:tcW w:w="2268"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漆膜厚度（μ</w:t>
            </w:r>
            <w:r w:rsidRPr="00AC4504">
              <w:rPr>
                <w:rFonts w:ascii="宋体" w:hAnsi="宋体"/>
                <w:sz w:val="24"/>
                <w:szCs w:val="24"/>
              </w:rPr>
              <w:t>m</w:t>
            </w:r>
            <w:r w:rsidRPr="00AC4504">
              <w:rPr>
                <w:rFonts w:ascii="宋体" w:hAnsi="宋体" w:hint="eastAsia"/>
                <w:sz w:val="24"/>
                <w:szCs w:val="24"/>
              </w:rPr>
              <w:t>）</w:t>
            </w:r>
          </w:p>
        </w:tc>
      </w:tr>
      <w:tr w:rsidR="00E7517A" w:rsidRPr="00AC4504" w:rsidTr="007D269A">
        <w:trPr>
          <w:trHeight w:val="283"/>
          <w:jc w:val="center"/>
        </w:trPr>
        <w:tc>
          <w:tcPr>
            <w:tcW w:w="2410"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有机硅耐热底漆</w:t>
            </w:r>
          </w:p>
        </w:tc>
        <w:tc>
          <w:tcPr>
            <w:tcW w:w="2410"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25～50</w:t>
            </w:r>
          </w:p>
        </w:tc>
        <w:tc>
          <w:tcPr>
            <w:tcW w:w="2268"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有机硅耐热面漆</w:t>
            </w:r>
          </w:p>
        </w:tc>
        <w:tc>
          <w:tcPr>
            <w:tcW w:w="2268"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25～35</w:t>
            </w:r>
          </w:p>
        </w:tc>
      </w:tr>
    </w:tbl>
    <w:p w:rsidR="00E7517A" w:rsidRPr="00AC4504" w:rsidRDefault="00E7517A" w:rsidP="00E7517A">
      <w:pPr>
        <w:spacing w:line="276" w:lineRule="auto"/>
        <w:ind w:firstLineChars="200" w:firstLine="482"/>
        <w:jc w:val="left"/>
        <w:rPr>
          <w:rFonts w:ascii="宋体" w:hAnsi="宋体"/>
          <w:b/>
          <w:sz w:val="24"/>
          <w:szCs w:val="24"/>
          <w:lang w:val="en-GB"/>
        </w:rPr>
      </w:pPr>
      <w:r w:rsidRPr="00AC4504">
        <w:rPr>
          <w:rFonts w:ascii="宋体" w:hAnsi="宋体" w:hint="eastAsia"/>
          <w:b/>
          <w:sz w:val="24"/>
          <w:szCs w:val="24"/>
          <w:lang w:val="en-GB"/>
        </w:rPr>
        <w:t>化工厂、造船厂和近海船舶</w:t>
      </w:r>
    </w:p>
    <w:tbl>
      <w:tblPr>
        <w:tblW w:w="9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2"/>
        <w:gridCol w:w="1134"/>
        <w:gridCol w:w="1417"/>
        <w:gridCol w:w="1276"/>
        <w:gridCol w:w="1701"/>
        <w:gridCol w:w="1280"/>
        <w:gridCol w:w="1322"/>
      </w:tblGrid>
      <w:tr w:rsidR="00E7517A" w:rsidRPr="00AC4504" w:rsidTr="007D269A">
        <w:trPr>
          <w:trHeight w:val="20"/>
          <w:jc w:val="center"/>
        </w:trPr>
        <w:tc>
          <w:tcPr>
            <w:tcW w:w="1272"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底漆</w:t>
            </w:r>
          </w:p>
        </w:tc>
        <w:tc>
          <w:tcPr>
            <w:tcW w:w="1134"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漆膜厚度（μ</w:t>
            </w:r>
            <w:r w:rsidRPr="00AC4504">
              <w:rPr>
                <w:rFonts w:ascii="宋体" w:hAnsi="宋体"/>
                <w:sz w:val="24"/>
                <w:szCs w:val="24"/>
              </w:rPr>
              <w:t>m</w:t>
            </w:r>
            <w:r w:rsidRPr="00AC4504">
              <w:rPr>
                <w:rFonts w:ascii="宋体" w:hAnsi="宋体" w:hint="eastAsia"/>
                <w:sz w:val="24"/>
                <w:szCs w:val="24"/>
              </w:rPr>
              <w:t>）</w:t>
            </w:r>
          </w:p>
        </w:tc>
        <w:tc>
          <w:tcPr>
            <w:tcW w:w="1417"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中间漆</w:t>
            </w:r>
          </w:p>
        </w:tc>
        <w:tc>
          <w:tcPr>
            <w:tcW w:w="127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漆膜厚度（μ</w:t>
            </w:r>
            <w:r w:rsidRPr="00AC4504">
              <w:rPr>
                <w:rFonts w:ascii="宋体" w:hAnsi="宋体"/>
                <w:sz w:val="24"/>
                <w:szCs w:val="24"/>
              </w:rPr>
              <w:t>m</w:t>
            </w:r>
            <w:r w:rsidRPr="00AC4504">
              <w:rPr>
                <w:rFonts w:ascii="宋体" w:hAnsi="宋体" w:hint="eastAsia"/>
                <w:sz w:val="24"/>
                <w:szCs w:val="24"/>
              </w:rPr>
              <w:t>）</w:t>
            </w:r>
          </w:p>
        </w:tc>
        <w:tc>
          <w:tcPr>
            <w:tcW w:w="1701"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面漆</w:t>
            </w:r>
          </w:p>
        </w:tc>
        <w:tc>
          <w:tcPr>
            <w:tcW w:w="1280"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漆膜厚度（μ</w:t>
            </w:r>
            <w:r w:rsidRPr="00AC4504">
              <w:rPr>
                <w:rFonts w:ascii="宋体" w:hAnsi="宋体"/>
                <w:sz w:val="24"/>
                <w:szCs w:val="24"/>
              </w:rPr>
              <w:t>m</w:t>
            </w:r>
            <w:r w:rsidRPr="00AC4504">
              <w:rPr>
                <w:rFonts w:ascii="宋体" w:hAnsi="宋体" w:hint="eastAsia"/>
                <w:sz w:val="24"/>
                <w:szCs w:val="24"/>
              </w:rPr>
              <w:t>）</w:t>
            </w:r>
          </w:p>
        </w:tc>
        <w:tc>
          <w:tcPr>
            <w:tcW w:w="1322"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理论年限（年）</w:t>
            </w:r>
          </w:p>
        </w:tc>
      </w:tr>
      <w:tr w:rsidR="00E7517A" w:rsidRPr="00AC4504" w:rsidTr="007D269A">
        <w:trPr>
          <w:trHeight w:val="20"/>
          <w:jc w:val="center"/>
        </w:trPr>
        <w:tc>
          <w:tcPr>
            <w:tcW w:w="1272"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环氧富锌</w:t>
            </w:r>
          </w:p>
        </w:tc>
        <w:tc>
          <w:tcPr>
            <w:tcW w:w="1134"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40</w:t>
            </w:r>
          </w:p>
        </w:tc>
        <w:tc>
          <w:tcPr>
            <w:tcW w:w="1417"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无</w:t>
            </w:r>
          </w:p>
        </w:tc>
        <w:tc>
          <w:tcPr>
            <w:tcW w:w="127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无</w:t>
            </w:r>
          </w:p>
        </w:tc>
        <w:tc>
          <w:tcPr>
            <w:tcW w:w="1701"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氯化橡胶</w:t>
            </w:r>
          </w:p>
        </w:tc>
        <w:tc>
          <w:tcPr>
            <w:tcW w:w="1280"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100</w:t>
            </w:r>
          </w:p>
        </w:tc>
        <w:tc>
          <w:tcPr>
            <w:tcW w:w="1322"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2-5</w:t>
            </w:r>
          </w:p>
        </w:tc>
      </w:tr>
      <w:tr w:rsidR="00E7517A" w:rsidRPr="00AC4504" w:rsidTr="007D269A">
        <w:trPr>
          <w:trHeight w:val="20"/>
          <w:jc w:val="center"/>
        </w:trPr>
        <w:tc>
          <w:tcPr>
            <w:tcW w:w="1272"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环氧富锌</w:t>
            </w:r>
          </w:p>
        </w:tc>
        <w:tc>
          <w:tcPr>
            <w:tcW w:w="1134"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40</w:t>
            </w:r>
          </w:p>
        </w:tc>
        <w:tc>
          <w:tcPr>
            <w:tcW w:w="1417"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无</w:t>
            </w:r>
          </w:p>
        </w:tc>
        <w:tc>
          <w:tcPr>
            <w:tcW w:w="127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无</w:t>
            </w:r>
          </w:p>
        </w:tc>
        <w:tc>
          <w:tcPr>
            <w:tcW w:w="1701"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高氯化聚乙烯</w:t>
            </w:r>
          </w:p>
        </w:tc>
        <w:tc>
          <w:tcPr>
            <w:tcW w:w="1280"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80</w:t>
            </w:r>
          </w:p>
        </w:tc>
        <w:tc>
          <w:tcPr>
            <w:tcW w:w="1322"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2-5</w:t>
            </w:r>
          </w:p>
        </w:tc>
      </w:tr>
      <w:tr w:rsidR="00E7517A" w:rsidRPr="00AC4504" w:rsidTr="007D269A">
        <w:trPr>
          <w:trHeight w:val="20"/>
          <w:jc w:val="center"/>
        </w:trPr>
        <w:tc>
          <w:tcPr>
            <w:tcW w:w="1272"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环氧富锌</w:t>
            </w:r>
          </w:p>
        </w:tc>
        <w:tc>
          <w:tcPr>
            <w:tcW w:w="1134"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40</w:t>
            </w:r>
          </w:p>
        </w:tc>
        <w:tc>
          <w:tcPr>
            <w:tcW w:w="1417"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环氧云铁</w:t>
            </w:r>
          </w:p>
        </w:tc>
        <w:tc>
          <w:tcPr>
            <w:tcW w:w="127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100</w:t>
            </w:r>
          </w:p>
        </w:tc>
        <w:tc>
          <w:tcPr>
            <w:tcW w:w="1701"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氯化橡胶或脂肪族聚氨酯</w:t>
            </w:r>
          </w:p>
        </w:tc>
        <w:tc>
          <w:tcPr>
            <w:tcW w:w="1280"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50～70</w:t>
            </w:r>
          </w:p>
        </w:tc>
        <w:tc>
          <w:tcPr>
            <w:tcW w:w="1322"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5-10</w:t>
            </w:r>
          </w:p>
        </w:tc>
      </w:tr>
      <w:tr w:rsidR="00E7517A" w:rsidRPr="00AC4504" w:rsidTr="007D269A">
        <w:trPr>
          <w:trHeight w:val="20"/>
          <w:jc w:val="center"/>
        </w:trPr>
        <w:tc>
          <w:tcPr>
            <w:tcW w:w="1272"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环氧富锌</w:t>
            </w:r>
          </w:p>
        </w:tc>
        <w:tc>
          <w:tcPr>
            <w:tcW w:w="1134"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40</w:t>
            </w:r>
          </w:p>
        </w:tc>
        <w:tc>
          <w:tcPr>
            <w:tcW w:w="1417"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环氧云铁</w:t>
            </w:r>
          </w:p>
        </w:tc>
        <w:tc>
          <w:tcPr>
            <w:tcW w:w="127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100</w:t>
            </w:r>
          </w:p>
        </w:tc>
        <w:tc>
          <w:tcPr>
            <w:tcW w:w="1701"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氯化橡胶或脂肪族聚氨酯</w:t>
            </w:r>
          </w:p>
        </w:tc>
        <w:tc>
          <w:tcPr>
            <w:tcW w:w="1280"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100</w:t>
            </w:r>
          </w:p>
        </w:tc>
        <w:tc>
          <w:tcPr>
            <w:tcW w:w="1322"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15年以上</w:t>
            </w:r>
          </w:p>
        </w:tc>
      </w:tr>
    </w:tbl>
    <w:p w:rsidR="00E7517A" w:rsidRPr="00AC4504" w:rsidRDefault="00E7517A" w:rsidP="00E7517A">
      <w:pPr>
        <w:spacing w:line="276" w:lineRule="auto"/>
        <w:ind w:firstLineChars="200" w:firstLine="482"/>
        <w:jc w:val="left"/>
        <w:rPr>
          <w:rFonts w:ascii="宋体" w:hAnsi="宋体"/>
          <w:b/>
          <w:sz w:val="24"/>
          <w:szCs w:val="24"/>
          <w:lang w:val="en-GB"/>
        </w:rPr>
      </w:pPr>
      <w:r w:rsidRPr="00AC4504">
        <w:rPr>
          <w:rFonts w:ascii="宋体" w:hAnsi="宋体" w:hint="eastAsia"/>
          <w:b/>
          <w:sz w:val="24"/>
          <w:szCs w:val="24"/>
          <w:lang w:val="en-GB"/>
        </w:rPr>
        <w:t>起重行业标准</w:t>
      </w:r>
    </w:p>
    <w:tbl>
      <w:tblPr>
        <w:tblW w:w="9402" w:type="dxa"/>
        <w:jc w:val="center"/>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2"/>
        <w:gridCol w:w="1084"/>
        <w:gridCol w:w="1893"/>
        <w:gridCol w:w="1559"/>
        <w:gridCol w:w="1843"/>
        <w:gridCol w:w="1701"/>
      </w:tblGrid>
      <w:tr w:rsidR="00E7517A" w:rsidRPr="00AC4504" w:rsidTr="007D269A">
        <w:trPr>
          <w:trHeight w:val="113"/>
          <w:jc w:val="center"/>
        </w:trPr>
        <w:tc>
          <w:tcPr>
            <w:tcW w:w="2406" w:type="dxa"/>
            <w:gridSpan w:val="2"/>
            <w:vAlign w:val="center"/>
          </w:tcPr>
          <w:p w:rsidR="00E7517A" w:rsidRPr="00AC4504" w:rsidRDefault="00E7517A" w:rsidP="007D269A">
            <w:pPr>
              <w:spacing w:line="276" w:lineRule="auto"/>
              <w:ind w:firstLineChars="200" w:firstLine="480"/>
              <w:jc w:val="left"/>
              <w:rPr>
                <w:rFonts w:ascii="宋体" w:hAnsi="宋体"/>
                <w:sz w:val="24"/>
                <w:szCs w:val="24"/>
              </w:rPr>
            </w:pPr>
          </w:p>
        </w:tc>
        <w:tc>
          <w:tcPr>
            <w:tcW w:w="1893"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底漆漆膜厚度</w:t>
            </w:r>
            <w:r w:rsidRPr="00AC4504">
              <w:rPr>
                <w:rFonts w:ascii="宋体" w:hAnsi="宋体" w:hint="eastAsia"/>
                <w:sz w:val="24"/>
                <w:szCs w:val="24"/>
              </w:rPr>
              <w:lastRenderedPageBreak/>
              <w:t>（μ</w:t>
            </w:r>
            <w:r w:rsidRPr="00AC4504">
              <w:rPr>
                <w:rFonts w:ascii="宋体" w:hAnsi="宋体"/>
                <w:sz w:val="24"/>
                <w:szCs w:val="24"/>
              </w:rPr>
              <w:t>m</w:t>
            </w:r>
            <w:r w:rsidRPr="00AC4504">
              <w:rPr>
                <w:rFonts w:ascii="宋体" w:hAnsi="宋体" w:hint="eastAsia"/>
                <w:sz w:val="24"/>
                <w:szCs w:val="24"/>
              </w:rPr>
              <w:t>）</w:t>
            </w:r>
          </w:p>
        </w:tc>
        <w:tc>
          <w:tcPr>
            <w:tcW w:w="1559"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lastRenderedPageBreak/>
              <w:t>中间漆漆膜</w:t>
            </w:r>
            <w:r w:rsidRPr="00AC4504">
              <w:rPr>
                <w:rFonts w:ascii="宋体" w:hAnsi="宋体" w:hint="eastAsia"/>
                <w:sz w:val="24"/>
                <w:szCs w:val="24"/>
              </w:rPr>
              <w:lastRenderedPageBreak/>
              <w:t>厚度（μ</w:t>
            </w:r>
            <w:r w:rsidRPr="00AC4504">
              <w:rPr>
                <w:rFonts w:ascii="宋体" w:hAnsi="宋体"/>
                <w:sz w:val="24"/>
                <w:szCs w:val="24"/>
              </w:rPr>
              <w:t>m</w:t>
            </w:r>
            <w:r w:rsidRPr="00AC4504">
              <w:rPr>
                <w:rFonts w:ascii="宋体" w:hAnsi="宋体" w:hint="eastAsia"/>
                <w:sz w:val="24"/>
                <w:szCs w:val="24"/>
              </w:rPr>
              <w:t>）</w:t>
            </w:r>
          </w:p>
        </w:tc>
        <w:tc>
          <w:tcPr>
            <w:tcW w:w="1843"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lastRenderedPageBreak/>
              <w:t>面漆漆膜厚度</w:t>
            </w:r>
            <w:r w:rsidRPr="00AC4504">
              <w:rPr>
                <w:rFonts w:ascii="宋体" w:hAnsi="宋体" w:hint="eastAsia"/>
                <w:sz w:val="24"/>
                <w:szCs w:val="24"/>
              </w:rPr>
              <w:lastRenderedPageBreak/>
              <w:t>（μ</w:t>
            </w:r>
            <w:r w:rsidRPr="00AC4504">
              <w:rPr>
                <w:rFonts w:ascii="宋体" w:hAnsi="宋体"/>
                <w:sz w:val="24"/>
                <w:szCs w:val="24"/>
              </w:rPr>
              <w:t>m</w:t>
            </w:r>
            <w:r w:rsidRPr="00AC4504">
              <w:rPr>
                <w:rFonts w:ascii="宋体" w:hAnsi="宋体" w:hint="eastAsia"/>
                <w:sz w:val="24"/>
                <w:szCs w:val="24"/>
              </w:rPr>
              <w:t>）</w:t>
            </w:r>
          </w:p>
        </w:tc>
        <w:tc>
          <w:tcPr>
            <w:tcW w:w="1701"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lastRenderedPageBreak/>
              <w:t>总漆膜厚度</w:t>
            </w:r>
            <w:r w:rsidRPr="00AC4504">
              <w:rPr>
                <w:rFonts w:ascii="宋体" w:hAnsi="宋体" w:hint="eastAsia"/>
                <w:sz w:val="24"/>
                <w:szCs w:val="24"/>
              </w:rPr>
              <w:lastRenderedPageBreak/>
              <w:t>（μ</w:t>
            </w:r>
            <w:r w:rsidRPr="00AC4504">
              <w:rPr>
                <w:rFonts w:ascii="宋体" w:hAnsi="宋体"/>
                <w:sz w:val="24"/>
                <w:szCs w:val="24"/>
              </w:rPr>
              <w:t>m</w:t>
            </w:r>
            <w:r w:rsidRPr="00AC4504">
              <w:rPr>
                <w:rFonts w:ascii="宋体" w:hAnsi="宋体" w:hint="eastAsia"/>
                <w:sz w:val="24"/>
                <w:szCs w:val="24"/>
              </w:rPr>
              <w:t>）</w:t>
            </w:r>
          </w:p>
        </w:tc>
      </w:tr>
      <w:tr w:rsidR="00E7517A" w:rsidRPr="00AC4504" w:rsidTr="007D269A">
        <w:trPr>
          <w:trHeight w:val="113"/>
          <w:jc w:val="center"/>
        </w:trPr>
        <w:tc>
          <w:tcPr>
            <w:tcW w:w="2406" w:type="dxa"/>
            <w:gridSpan w:val="2"/>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lastRenderedPageBreak/>
              <w:t>通用桥门式起重机</w:t>
            </w:r>
          </w:p>
        </w:tc>
        <w:tc>
          <w:tcPr>
            <w:tcW w:w="1893"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25～35</w:t>
            </w:r>
          </w:p>
        </w:tc>
        <w:tc>
          <w:tcPr>
            <w:tcW w:w="1559"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无</w:t>
            </w:r>
          </w:p>
        </w:tc>
        <w:tc>
          <w:tcPr>
            <w:tcW w:w="1843"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50～70</w:t>
            </w:r>
          </w:p>
        </w:tc>
        <w:tc>
          <w:tcPr>
            <w:tcW w:w="1701"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75～105</w:t>
            </w:r>
          </w:p>
        </w:tc>
      </w:tr>
      <w:tr w:rsidR="00E7517A" w:rsidRPr="00AC4504" w:rsidTr="007D269A">
        <w:trPr>
          <w:trHeight w:val="113"/>
          <w:jc w:val="center"/>
        </w:trPr>
        <w:tc>
          <w:tcPr>
            <w:tcW w:w="1322" w:type="dxa"/>
            <w:vMerge w:val="restart"/>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冶金起重机</w:t>
            </w:r>
          </w:p>
        </w:tc>
        <w:tc>
          <w:tcPr>
            <w:tcW w:w="1084"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桥架</w:t>
            </w:r>
          </w:p>
        </w:tc>
        <w:tc>
          <w:tcPr>
            <w:tcW w:w="1893"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≥60</w:t>
            </w:r>
          </w:p>
        </w:tc>
        <w:tc>
          <w:tcPr>
            <w:tcW w:w="1559"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无</w:t>
            </w:r>
          </w:p>
        </w:tc>
        <w:tc>
          <w:tcPr>
            <w:tcW w:w="1843"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≥60</w:t>
            </w:r>
          </w:p>
        </w:tc>
        <w:tc>
          <w:tcPr>
            <w:tcW w:w="1701"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≥120</w:t>
            </w:r>
          </w:p>
        </w:tc>
      </w:tr>
      <w:tr w:rsidR="00E7517A" w:rsidRPr="00AC4504" w:rsidTr="007D269A">
        <w:trPr>
          <w:trHeight w:val="113"/>
          <w:jc w:val="center"/>
        </w:trPr>
        <w:tc>
          <w:tcPr>
            <w:tcW w:w="1322" w:type="dxa"/>
            <w:vMerge/>
            <w:vAlign w:val="center"/>
          </w:tcPr>
          <w:p w:rsidR="00E7517A" w:rsidRPr="00AC4504" w:rsidRDefault="00E7517A" w:rsidP="007D269A">
            <w:pPr>
              <w:spacing w:line="276" w:lineRule="auto"/>
              <w:ind w:firstLineChars="200" w:firstLine="480"/>
              <w:jc w:val="left"/>
              <w:rPr>
                <w:rFonts w:ascii="宋体" w:hAnsi="宋体"/>
                <w:sz w:val="24"/>
                <w:szCs w:val="24"/>
              </w:rPr>
            </w:pPr>
          </w:p>
        </w:tc>
        <w:tc>
          <w:tcPr>
            <w:tcW w:w="1084"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隔热层</w:t>
            </w:r>
          </w:p>
        </w:tc>
        <w:tc>
          <w:tcPr>
            <w:tcW w:w="1893"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25～50</w:t>
            </w:r>
          </w:p>
        </w:tc>
        <w:tc>
          <w:tcPr>
            <w:tcW w:w="1559"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无</w:t>
            </w:r>
          </w:p>
        </w:tc>
        <w:tc>
          <w:tcPr>
            <w:tcW w:w="1843"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25～35</w:t>
            </w:r>
          </w:p>
        </w:tc>
        <w:tc>
          <w:tcPr>
            <w:tcW w:w="1701"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50～85</w:t>
            </w:r>
          </w:p>
        </w:tc>
      </w:tr>
      <w:tr w:rsidR="00E7517A" w:rsidRPr="00AC4504" w:rsidTr="007D269A">
        <w:trPr>
          <w:trHeight w:val="113"/>
          <w:jc w:val="center"/>
        </w:trPr>
        <w:tc>
          <w:tcPr>
            <w:tcW w:w="2406" w:type="dxa"/>
            <w:gridSpan w:val="2"/>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港口起重机</w:t>
            </w:r>
          </w:p>
        </w:tc>
        <w:tc>
          <w:tcPr>
            <w:tcW w:w="1893"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60</w:t>
            </w:r>
          </w:p>
        </w:tc>
        <w:tc>
          <w:tcPr>
            <w:tcW w:w="1559"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100</w:t>
            </w:r>
          </w:p>
        </w:tc>
        <w:tc>
          <w:tcPr>
            <w:tcW w:w="1843"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60</w:t>
            </w:r>
          </w:p>
        </w:tc>
        <w:tc>
          <w:tcPr>
            <w:tcW w:w="1701" w:type="dxa"/>
            <w:vAlign w:val="center"/>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220</w:t>
            </w:r>
          </w:p>
        </w:tc>
      </w:tr>
    </w:tbl>
    <w:p w:rsidR="00E7517A" w:rsidRPr="00AC4504" w:rsidRDefault="00E7517A" w:rsidP="00E7517A">
      <w:pPr>
        <w:spacing w:line="276" w:lineRule="auto"/>
        <w:ind w:firstLineChars="200" w:firstLine="482"/>
        <w:jc w:val="left"/>
        <w:rPr>
          <w:rFonts w:ascii="宋体" w:hAnsi="宋体"/>
          <w:b/>
          <w:sz w:val="24"/>
          <w:szCs w:val="24"/>
          <w:lang w:val="en-GB"/>
        </w:rPr>
      </w:pPr>
      <w:r w:rsidRPr="00AC4504">
        <w:rPr>
          <w:rFonts w:ascii="宋体" w:hAnsi="宋体" w:hint="eastAsia"/>
          <w:b/>
          <w:sz w:val="24"/>
          <w:szCs w:val="24"/>
          <w:lang w:val="en-GB"/>
        </w:rPr>
        <w:t>常用油漆性能参考</w:t>
      </w:r>
    </w:p>
    <w:tbl>
      <w:tblPr>
        <w:tblW w:w="9422" w:type="dxa"/>
        <w:jc w:val="center"/>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
        <w:gridCol w:w="1826"/>
        <w:gridCol w:w="6891"/>
      </w:tblGrid>
      <w:tr w:rsidR="00E7517A" w:rsidRPr="00AC4504" w:rsidTr="007D269A">
        <w:trPr>
          <w:trHeight w:val="454"/>
          <w:jc w:val="center"/>
        </w:trPr>
        <w:tc>
          <w:tcPr>
            <w:tcW w:w="705" w:type="dxa"/>
            <w:vAlign w:val="center"/>
          </w:tcPr>
          <w:p w:rsidR="00E7517A" w:rsidRPr="00AC4504" w:rsidRDefault="00E7517A" w:rsidP="007D269A">
            <w:pPr>
              <w:spacing w:line="276" w:lineRule="auto"/>
              <w:jc w:val="center"/>
              <w:rPr>
                <w:rFonts w:ascii="宋体" w:hAnsi="宋体"/>
                <w:sz w:val="24"/>
                <w:szCs w:val="24"/>
              </w:rPr>
            </w:pPr>
            <w:r w:rsidRPr="00AC4504">
              <w:rPr>
                <w:rFonts w:ascii="宋体" w:hAnsi="宋体" w:hint="eastAsia"/>
                <w:sz w:val="24"/>
                <w:szCs w:val="24"/>
              </w:rPr>
              <w:t>油漆</w:t>
            </w:r>
          </w:p>
        </w:tc>
        <w:tc>
          <w:tcPr>
            <w:tcW w:w="1826" w:type="dxa"/>
            <w:vAlign w:val="center"/>
          </w:tcPr>
          <w:p w:rsidR="00E7517A" w:rsidRPr="00AC4504" w:rsidRDefault="00E7517A" w:rsidP="007D269A">
            <w:pPr>
              <w:spacing w:line="276" w:lineRule="auto"/>
              <w:jc w:val="center"/>
              <w:rPr>
                <w:rFonts w:ascii="宋体" w:hAnsi="宋体"/>
                <w:sz w:val="24"/>
                <w:szCs w:val="24"/>
              </w:rPr>
            </w:pPr>
            <w:r w:rsidRPr="00AC4504">
              <w:rPr>
                <w:rFonts w:ascii="宋体" w:hAnsi="宋体" w:hint="eastAsia"/>
                <w:sz w:val="24"/>
                <w:szCs w:val="24"/>
              </w:rPr>
              <w:t>类别</w:t>
            </w:r>
          </w:p>
        </w:tc>
        <w:tc>
          <w:tcPr>
            <w:tcW w:w="6891" w:type="dxa"/>
            <w:vAlign w:val="center"/>
          </w:tcPr>
          <w:p w:rsidR="00E7517A" w:rsidRPr="00AC4504" w:rsidRDefault="00E7517A" w:rsidP="007D269A">
            <w:pPr>
              <w:spacing w:line="276" w:lineRule="auto"/>
              <w:jc w:val="center"/>
              <w:rPr>
                <w:rFonts w:ascii="宋体" w:hAnsi="宋体"/>
                <w:sz w:val="24"/>
                <w:szCs w:val="24"/>
              </w:rPr>
            </w:pPr>
            <w:r w:rsidRPr="00AC4504">
              <w:rPr>
                <w:rFonts w:ascii="宋体" w:hAnsi="宋体" w:hint="eastAsia"/>
                <w:sz w:val="24"/>
                <w:szCs w:val="24"/>
              </w:rPr>
              <w:t>特点</w:t>
            </w:r>
          </w:p>
        </w:tc>
      </w:tr>
      <w:tr w:rsidR="00E7517A" w:rsidRPr="00AC4504" w:rsidTr="007D269A">
        <w:trPr>
          <w:trHeight w:val="454"/>
          <w:jc w:val="center"/>
        </w:trPr>
        <w:tc>
          <w:tcPr>
            <w:tcW w:w="705" w:type="dxa"/>
            <w:vMerge w:val="restart"/>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底漆</w:t>
            </w: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铁红醇酸底漆</w:t>
            </w:r>
          </w:p>
        </w:tc>
        <w:tc>
          <w:tcPr>
            <w:tcW w:w="6891"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漆膜具有良好的附着力和防锈性，与醇酸面漆结合力好。</w:t>
            </w:r>
          </w:p>
        </w:tc>
      </w:tr>
      <w:tr w:rsidR="00E7517A" w:rsidRPr="00AC4504" w:rsidTr="007D269A">
        <w:trPr>
          <w:trHeight w:val="454"/>
          <w:jc w:val="center"/>
        </w:trPr>
        <w:tc>
          <w:tcPr>
            <w:tcW w:w="705" w:type="dxa"/>
            <w:vMerge/>
            <w:vAlign w:val="center"/>
          </w:tcPr>
          <w:p w:rsidR="00E7517A" w:rsidRPr="00AC4504" w:rsidRDefault="00E7517A" w:rsidP="007D269A">
            <w:pPr>
              <w:spacing w:line="276" w:lineRule="auto"/>
              <w:ind w:firstLineChars="200" w:firstLine="480"/>
              <w:jc w:val="left"/>
              <w:rPr>
                <w:rFonts w:ascii="宋体" w:hAnsi="宋体"/>
                <w:sz w:val="24"/>
                <w:szCs w:val="24"/>
              </w:rPr>
            </w:pP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环氧富锌底漆</w:t>
            </w:r>
          </w:p>
        </w:tc>
        <w:tc>
          <w:tcPr>
            <w:tcW w:w="6891"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在金属表面有优异的附着力和防锈能力，漆膜中锌粉含量高，具有阴极保护作用，电焊切割时不会大面积烧损，也不影响焊接性能，具有干燥迅速、耐油、耐水等特性。可与多种面漆配合，如环氧树脂涂料、氯磺化聚乙烯面漆、氯化橡胶面漆等。</w:t>
            </w:r>
          </w:p>
        </w:tc>
      </w:tr>
      <w:tr w:rsidR="00E7517A" w:rsidRPr="00AC4504" w:rsidTr="007D269A">
        <w:trPr>
          <w:trHeight w:val="454"/>
          <w:jc w:val="center"/>
        </w:trPr>
        <w:tc>
          <w:tcPr>
            <w:tcW w:w="705" w:type="dxa"/>
            <w:vMerge/>
            <w:vAlign w:val="center"/>
          </w:tcPr>
          <w:p w:rsidR="00E7517A" w:rsidRPr="00AC4504" w:rsidRDefault="00E7517A" w:rsidP="007D269A">
            <w:pPr>
              <w:spacing w:line="276" w:lineRule="auto"/>
              <w:ind w:firstLineChars="200" w:firstLine="480"/>
              <w:jc w:val="left"/>
              <w:rPr>
                <w:rFonts w:ascii="宋体" w:hAnsi="宋体"/>
                <w:sz w:val="24"/>
                <w:szCs w:val="24"/>
              </w:rPr>
            </w:pP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无机硅酸锌</w:t>
            </w:r>
          </w:p>
        </w:tc>
        <w:tc>
          <w:tcPr>
            <w:tcW w:w="6891" w:type="dxa"/>
          </w:tcPr>
          <w:p w:rsidR="00E7517A" w:rsidRPr="00AC4504" w:rsidRDefault="00E7517A" w:rsidP="007D269A">
            <w:pPr>
              <w:spacing w:line="276" w:lineRule="auto"/>
              <w:ind w:firstLineChars="200" w:firstLine="480"/>
              <w:jc w:val="left"/>
              <w:rPr>
                <w:rFonts w:ascii="宋体" w:hAnsi="宋体"/>
                <w:sz w:val="24"/>
                <w:szCs w:val="24"/>
              </w:rPr>
            </w:pPr>
            <w:r w:rsidRPr="00AC4504">
              <w:rPr>
                <w:rFonts w:ascii="宋体" w:hAnsi="宋体" w:hint="eastAsia"/>
                <w:sz w:val="24"/>
                <w:szCs w:val="24"/>
              </w:rPr>
              <w:t>具有阴极保护作用防锈性能优异，有优异的耐热性，可经受400℃高温，能与大多油漆配套，但它对刚才表面处理的要求很高，必须达到Sa2.5级以上，才能使漆膜和钢铁基体之间保持良好的结合力。</w:t>
            </w:r>
          </w:p>
        </w:tc>
      </w:tr>
      <w:tr w:rsidR="00E7517A" w:rsidRPr="00AC4504" w:rsidTr="007D269A">
        <w:trPr>
          <w:trHeight w:val="454"/>
          <w:jc w:val="center"/>
        </w:trPr>
        <w:tc>
          <w:tcPr>
            <w:tcW w:w="705" w:type="dxa"/>
            <w:vMerge/>
            <w:vAlign w:val="center"/>
          </w:tcPr>
          <w:p w:rsidR="00E7517A" w:rsidRPr="00AC4504" w:rsidRDefault="00E7517A" w:rsidP="007D269A">
            <w:pPr>
              <w:spacing w:line="276" w:lineRule="auto"/>
              <w:ind w:firstLineChars="200" w:firstLine="480"/>
              <w:jc w:val="left"/>
              <w:rPr>
                <w:rFonts w:ascii="宋体" w:hAnsi="宋体"/>
                <w:sz w:val="24"/>
                <w:szCs w:val="24"/>
              </w:rPr>
            </w:pP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氯磺化聚乙烯底漆</w:t>
            </w:r>
          </w:p>
        </w:tc>
        <w:tc>
          <w:tcPr>
            <w:tcW w:w="6891" w:type="dxa"/>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耐酸碱、耐溶剂、耐油、耐水性能好，使用温度-50-120℃，防潮湿放盐雾防霉菌，后道漆用氯磺化聚乙烯面漆。</w:t>
            </w:r>
          </w:p>
        </w:tc>
      </w:tr>
      <w:tr w:rsidR="00E7517A" w:rsidRPr="00AC4504" w:rsidTr="007D269A">
        <w:trPr>
          <w:trHeight w:val="454"/>
          <w:jc w:val="center"/>
        </w:trPr>
        <w:tc>
          <w:tcPr>
            <w:tcW w:w="705" w:type="dxa"/>
            <w:vMerge/>
            <w:vAlign w:val="center"/>
          </w:tcPr>
          <w:p w:rsidR="00E7517A" w:rsidRPr="00AC4504" w:rsidRDefault="00E7517A" w:rsidP="007D269A">
            <w:pPr>
              <w:spacing w:line="276" w:lineRule="auto"/>
              <w:ind w:firstLineChars="200" w:firstLine="480"/>
              <w:jc w:val="left"/>
              <w:rPr>
                <w:rFonts w:ascii="宋体" w:hAnsi="宋体"/>
                <w:sz w:val="24"/>
                <w:szCs w:val="24"/>
              </w:rPr>
            </w:pP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有机硅耐热底漆</w:t>
            </w:r>
          </w:p>
        </w:tc>
        <w:tc>
          <w:tcPr>
            <w:tcW w:w="6891" w:type="dxa"/>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耐热性400±10℃，与有机硅耐热面漆配套用于受热部件的保护涂装，像主梁隔热层。</w:t>
            </w:r>
          </w:p>
        </w:tc>
      </w:tr>
      <w:tr w:rsidR="00E7517A" w:rsidRPr="00AC4504" w:rsidTr="007D269A">
        <w:trPr>
          <w:trHeight w:val="454"/>
          <w:jc w:val="center"/>
        </w:trPr>
        <w:tc>
          <w:tcPr>
            <w:tcW w:w="705" w:type="dxa"/>
            <w:vMerge/>
            <w:vAlign w:val="center"/>
          </w:tcPr>
          <w:p w:rsidR="00E7517A" w:rsidRPr="00AC4504" w:rsidRDefault="00E7517A" w:rsidP="007D269A">
            <w:pPr>
              <w:spacing w:line="276" w:lineRule="auto"/>
              <w:ind w:firstLineChars="200" w:firstLine="480"/>
              <w:jc w:val="left"/>
              <w:rPr>
                <w:rFonts w:ascii="宋体" w:hAnsi="宋体"/>
                <w:sz w:val="24"/>
                <w:szCs w:val="24"/>
              </w:rPr>
            </w:pP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红丹环氧防锈底漆</w:t>
            </w:r>
          </w:p>
        </w:tc>
        <w:tc>
          <w:tcPr>
            <w:tcW w:w="6891" w:type="dxa"/>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和环氧面漆或中间漆配套，也可与氯化橡胶配套，对表面预处理的要求等级不高，通常手工除锈达到St3级即可。</w:t>
            </w:r>
          </w:p>
        </w:tc>
      </w:tr>
      <w:tr w:rsidR="00E7517A" w:rsidRPr="00AC4504" w:rsidTr="007D269A">
        <w:trPr>
          <w:trHeight w:val="454"/>
          <w:jc w:val="center"/>
        </w:trPr>
        <w:tc>
          <w:tcPr>
            <w:tcW w:w="705" w:type="dxa"/>
            <w:vMerge w:val="restart"/>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中间漆</w:t>
            </w: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环氧云铁防锈底漆</w:t>
            </w:r>
          </w:p>
        </w:tc>
        <w:tc>
          <w:tcPr>
            <w:tcW w:w="6891" w:type="dxa"/>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常与环氧富锌底漆配套使用。与后道漆膜有良好的层间附着力，常与环氧型、聚氨酯型和氯化橡胶等面漆涂料配套。</w:t>
            </w:r>
          </w:p>
        </w:tc>
      </w:tr>
      <w:tr w:rsidR="00E7517A" w:rsidRPr="00AC4504" w:rsidTr="007D269A">
        <w:trPr>
          <w:trHeight w:val="454"/>
          <w:jc w:val="center"/>
        </w:trPr>
        <w:tc>
          <w:tcPr>
            <w:tcW w:w="705" w:type="dxa"/>
            <w:vMerge/>
            <w:vAlign w:val="center"/>
          </w:tcPr>
          <w:p w:rsidR="00E7517A" w:rsidRPr="00AC4504" w:rsidRDefault="00E7517A" w:rsidP="007D269A">
            <w:pPr>
              <w:spacing w:line="276" w:lineRule="auto"/>
              <w:ind w:firstLineChars="200" w:firstLine="480"/>
              <w:jc w:val="left"/>
              <w:rPr>
                <w:rFonts w:ascii="宋体" w:hAnsi="宋体"/>
                <w:sz w:val="24"/>
                <w:szCs w:val="24"/>
              </w:rPr>
            </w:pP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云铁醇酸防锈漆</w:t>
            </w:r>
          </w:p>
        </w:tc>
        <w:tc>
          <w:tcPr>
            <w:tcW w:w="6891" w:type="dxa"/>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使用很少，可以与铁红醇酸配套作为中间漆，增加密闭性。</w:t>
            </w:r>
          </w:p>
        </w:tc>
      </w:tr>
      <w:tr w:rsidR="00E7517A" w:rsidRPr="00AC4504" w:rsidTr="007D269A">
        <w:trPr>
          <w:trHeight w:val="454"/>
          <w:jc w:val="center"/>
        </w:trPr>
        <w:tc>
          <w:tcPr>
            <w:tcW w:w="705" w:type="dxa"/>
            <w:vMerge/>
            <w:vAlign w:val="center"/>
          </w:tcPr>
          <w:p w:rsidR="00E7517A" w:rsidRPr="00AC4504" w:rsidRDefault="00E7517A" w:rsidP="007D269A">
            <w:pPr>
              <w:spacing w:line="276" w:lineRule="auto"/>
              <w:ind w:firstLineChars="200" w:firstLine="480"/>
              <w:jc w:val="left"/>
              <w:rPr>
                <w:rFonts w:ascii="宋体" w:hAnsi="宋体"/>
                <w:sz w:val="24"/>
                <w:szCs w:val="24"/>
              </w:rPr>
            </w:pP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氯磺化聚乙烯中间漆</w:t>
            </w:r>
          </w:p>
        </w:tc>
        <w:tc>
          <w:tcPr>
            <w:tcW w:w="6891" w:type="dxa"/>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在防腐要求高，漆膜厚度要求高的情况下，通常和氯磺化聚乙烯底漆配套使用。</w:t>
            </w:r>
          </w:p>
        </w:tc>
      </w:tr>
      <w:tr w:rsidR="00E7517A" w:rsidRPr="00AC4504" w:rsidTr="007D269A">
        <w:trPr>
          <w:trHeight w:val="454"/>
          <w:jc w:val="center"/>
        </w:trPr>
        <w:tc>
          <w:tcPr>
            <w:tcW w:w="705" w:type="dxa"/>
            <w:vMerge w:val="restart"/>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面漆</w:t>
            </w: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各色醇酸磁漆（耐候性）</w:t>
            </w:r>
          </w:p>
        </w:tc>
        <w:tc>
          <w:tcPr>
            <w:tcW w:w="6891" w:type="dxa"/>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具有良好的耐候性，良好的附着力，常与铁红醇酸配套，用于一般环境防腐。</w:t>
            </w:r>
          </w:p>
        </w:tc>
      </w:tr>
      <w:tr w:rsidR="00E7517A" w:rsidRPr="00AC4504" w:rsidTr="007D269A">
        <w:trPr>
          <w:trHeight w:val="454"/>
          <w:jc w:val="center"/>
        </w:trPr>
        <w:tc>
          <w:tcPr>
            <w:tcW w:w="705" w:type="dxa"/>
            <w:vMerge/>
            <w:vAlign w:val="center"/>
          </w:tcPr>
          <w:p w:rsidR="00E7517A" w:rsidRPr="00AC4504" w:rsidRDefault="00E7517A" w:rsidP="007D269A">
            <w:pPr>
              <w:spacing w:line="276" w:lineRule="auto"/>
              <w:ind w:firstLineChars="200" w:firstLine="480"/>
              <w:jc w:val="left"/>
              <w:rPr>
                <w:rFonts w:ascii="宋体" w:hAnsi="宋体"/>
                <w:sz w:val="24"/>
                <w:szCs w:val="24"/>
              </w:rPr>
            </w:pP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氯化橡胶</w:t>
            </w:r>
          </w:p>
        </w:tc>
        <w:tc>
          <w:tcPr>
            <w:tcW w:w="6891" w:type="dxa"/>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具有优良的耐候性、耐水性及一定耐化学品性能。常与环氧富锌底漆配套，多用于潮湿多雨的地区防腐，良好的耐盐雾性能，常用于船舶、港口、码头。可在-20-50℃环境中施工。</w:t>
            </w:r>
          </w:p>
        </w:tc>
      </w:tr>
      <w:tr w:rsidR="00E7517A" w:rsidRPr="00AC4504" w:rsidTr="007D269A">
        <w:trPr>
          <w:trHeight w:val="454"/>
          <w:jc w:val="center"/>
        </w:trPr>
        <w:tc>
          <w:tcPr>
            <w:tcW w:w="705" w:type="dxa"/>
            <w:vMerge/>
            <w:vAlign w:val="center"/>
          </w:tcPr>
          <w:p w:rsidR="00E7517A" w:rsidRPr="00AC4504" w:rsidRDefault="00E7517A" w:rsidP="007D269A">
            <w:pPr>
              <w:spacing w:line="276" w:lineRule="auto"/>
              <w:ind w:firstLineChars="200" w:firstLine="480"/>
              <w:jc w:val="left"/>
              <w:rPr>
                <w:rFonts w:ascii="宋体" w:hAnsi="宋体"/>
                <w:sz w:val="24"/>
                <w:szCs w:val="24"/>
              </w:rPr>
            </w:pP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脂肪族聚氨酯</w:t>
            </w:r>
          </w:p>
        </w:tc>
        <w:tc>
          <w:tcPr>
            <w:tcW w:w="6891" w:type="dxa"/>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具有优异的户外耐久性，能长期抵抗海洋性气候的强烈变化和海水飞溅的侵蚀，具有抗酸雨，抗工业排放气体的优异性能，特别适用于海港机械。</w:t>
            </w:r>
          </w:p>
        </w:tc>
      </w:tr>
      <w:tr w:rsidR="00E7517A" w:rsidRPr="00AC4504" w:rsidTr="007D269A">
        <w:trPr>
          <w:trHeight w:val="454"/>
          <w:jc w:val="center"/>
        </w:trPr>
        <w:tc>
          <w:tcPr>
            <w:tcW w:w="705" w:type="dxa"/>
            <w:vMerge/>
            <w:vAlign w:val="center"/>
          </w:tcPr>
          <w:p w:rsidR="00E7517A" w:rsidRPr="00AC4504" w:rsidRDefault="00E7517A" w:rsidP="007D269A">
            <w:pPr>
              <w:spacing w:line="276" w:lineRule="auto"/>
              <w:ind w:firstLineChars="200" w:firstLine="480"/>
              <w:jc w:val="left"/>
              <w:rPr>
                <w:rFonts w:ascii="宋体" w:hAnsi="宋体"/>
                <w:sz w:val="24"/>
                <w:szCs w:val="24"/>
              </w:rPr>
            </w:pP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丙烯酸聚氨酯</w:t>
            </w:r>
          </w:p>
        </w:tc>
        <w:tc>
          <w:tcPr>
            <w:tcW w:w="6891" w:type="dxa"/>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具有优良的耐候性、耐水性及一定耐化学品性能。常与环氧富锌</w:t>
            </w:r>
            <w:r w:rsidRPr="00AC4504">
              <w:rPr>
                <w:rFonts w:ascii="宋体" w:hAnsi="宋体" w:hint="eastAsia"/>
                <w:sz w:val="24"/>
                <w:szCs w:val="24"/>
              </w:rPr>
              <w:lastRenderedPageBreak/>
              <w:t>底漆配套，一般用于工业大气环境。</w:t>
            </w:r>
          </w:p>
        </w:tc>
      </w:tr>
      <w:tr w:rsidR="00E7517A" w:rsidRPr="00AC4504" w:rsidTr="007D269A">
        <w:trPr>
          <w:trHeight w:val="454"/>
          <w:jc w:val="center"/>
        </w:trPr>
        <w:tc>
          <w:tcPr>
            <w:tcW w:w="705" w:type="dxa"/>
            <w:vMerge/>
            <w:vAlign w:val="center"/>
          </w:tcPr>
          <w:p w:rsidR="00E7517A" w:rsidRPr="00AC4504" w:rsidRDefault="00E7517A" w:rsidP="007D269A">
            <w:pPr>
              <w:spacing w:line="276" w:lineRule="auto"/>
              <w:ind w:firstLineChars="200" w:firstLine="480"/>
              <w:jc w:val="left"/>
              <w:rPr>
                <w:rFonts w:ascii="宋体" w:hAnsi="宋体"/>
                <w:sz w:val="24"/>
                <w:szCs w:val="24"/>
              </w:rPr>
            </w:pP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氯磺化聚乙烯面漆</w:t>
            </w:r>
          </w:p>
        </w:tc>
        <w:tc>
          <w:tcPr>
            <w:tcW w:w="6891" w:type="dxa"/>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具有良好的耐水性、耐候性及化学药品性，常与氯磺化聚乙烯底漆配套用于含较多酸碱盐雾的电镀车间和化工车间等。</w:t>
            </w:r>
          </w:p>
        </w:tc>
      </w:tr>
      <w:tr w:rsidR="00E7517A" w:rsidRPr="00AC4504" w:rsidTr="007D269A">
        <w:trPr>
          <w:trHeight w:val="454"/>
          <w:jc w:val="center"/>
        </w:trPr>
        <w:tc>
          <w:tcPr>
            <w:tcW w:w="705" w:type="dxa"/>
            <w:vMerge/>
            <w:vAlign w:val="center"/>
          </w:tcPr>
          <w:p w:rsidR="00E7517A" w:rsidRPr="00AC4504" w:rsidRDefault="00E7517A" w:rsidP="007D269A">
            <w:pPr>
              <w:spacing w:line="276" w:lineRule="auto"/>
              <w:ind w:firstLineChars="200" w:firstLine="480"/>
              <w:jc w:val="left"/>
              <w:rPr>
                <w:rFonts w:ascii="宋体" w:hAnsi="宋体"/>
                <w:sz w:val="24"/>
                <w:szCs w:val="24"/>
              </w:rPr>
            </w:pP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高氯化聚乙烯面漆</w:t>
            </w:r>
          </w:p>
        </w:tc>
        <w:tc>
          <w:tcPr>
            <w:tcW w:w="6891" w:type="dxa"/>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对钢铁表面有优良的附着力，耐臭氧、耐酸碱、耐盐雾、耐盐水；防火阻燃，可在-20-100℃下长期使用，可与环氧富锌底漆配套。</w:t>
            </w:r>
          </w:p>
        </w:tc>
      </w:tr>
      <w:tr w:rsidR="00E7517A" w:rsidRPr="00AC4504" w:rsidTr="007D269A">
        <w:trPr>
          <w:trHeight w:val="454"/>
          <w:jc w:val="center"/>
        </w:trPr>
        <w:tc>
          <w:tcPr>
            <w:tcW w:w="705" w:type="dxa"/>
            <w:vMerge/>
            <w:vAlign w:val="center"/>
          </w:tcPr>
          <w:p w:rsidR="00E7517A" w:rsidRPr="00AC4504" w:rsidRDefault="00E7517A" w:rsidP="007D269A">
            <w:pPr>
              <w:spacing w:line="276" w:lineRule="auto"/>
              <w:ind w:firstLineChars="200" w:firstLine="480"/>
              <w:jc w:val="left"/>
              <w:rPr>
                <w:rFonts w:ascii="宋体" w:hAnsi="宋体"/>
                <w:sz w:val="24"/>
                <w:szCs w:val="24"/>
              </w:rPr>
            </w:pP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环氧磁漆面漆</w:t>
            </w:r>
          </w:p>
        </w:tc>
        <w:tc>
          <w:tcPr>
            <w:tcW w:w="6891" w:type="dxa"/>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常用于防水多雨的环境，和环氧类底漆配套。</w:t>
            </w:r>
          </w:p>
        </w:tc>
      </w:tr>
      <w:tr w:rsidR="00E7517A" w:rsidRPr="00AC4504" w:rsidTr="007D269A">
        <w:trPr>
          <w:trHeight w:val="454"/>
          <w:jc w:val="center"/>
        </w:trPr>
        <w:tc>
          <w:tcPr>
            <w:tcW w:w="705" w:type="dxa"/>
            <w:vMerge/>
            <w:vAlign w:val="center"/>
          </w:tcPr>
          <w:p w:rsidR="00E7517A" w:rsidRPr="00AC4504" w:rsidRDefault="00E7517A" w:rsidP="007D269A">
            <w:pPr>
              <w:spacing w:line="276" w:lineRule="auto"/>
              <w:ind w:firstLineChars="200" w:firstLine="480"/>
              <w:jc w:val="left"/>
              <w:rPr>
                <w:rFonts w:ascii="宋体" w:hAnsi="宋体"/>
                <w:sz w:val="24"/>
                <w:szCs w:val="24"/>
              </w:rPr>
            </w:pPr>
          </w:p>
        </w:tc>
        <w:tc>
          <w:tcPr>
            <w:tcW w:w="1826" w:type="dxa"/>
            <w:vAlign w:val="center"/>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有机硅耐热面漆</w:t>
            </w:r>
          </w:p>
        </w:tc>
        <w:tc>
          <w:tcPr>
            <w:tcW w:w="6891" w:type="dxa"/>
          </w:tcPr>
          <w:p w:rsidR="00E7517A" w:rsidRPr="00AC4504" w:rsidRDefault="00E7517A" w:rsidP="007D269A">
            <w:pPr>
              <w:spacing w:line="276" w:lineRule="auto"/>
              <w:jc w:val="left"/>
              <w:rPr>
                <w:rFonts w:ascii="宋体" w:hAnsi="宋体"/>
                <w:sz w:val="24"/>
                <w:szCs w:val="24"/>
              </w:rPr>
            </w:pPr>
            <w:r w:rsidRPr="00AC4504">
              <w:rPr>
                <w:rFonts w:ascii="宋体" w:hAnsi="宋体" w:hint="eastAsia"/>
                <w:sz w:val="24"/>
                <w:szCs w:val="24"/>
              </w:rPr>
              <w:t>耐热性400±10℃，与有机硅耐热底漆配套用于受热部件的保护涂装，像主梁隔热层。</w:t>
            </w:r>
          </w:p>
        </w:tc>
      </w:tr>
    </w:tbl>
    <w:p w:rsidR="00FA4E94" w:rsidRPr="00E7517A" w:rsidRDefault="00FA4E94"/>
    <w:sectPr w:rsidR="00FA4E94" w:rsidRPr="00E7517A" w:rsidSect="005E58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062" w:rsidRDefault="00130062" w:rsidP="002375D4">
      <w:r>
        <w:separator/>
      </w:r>
    </w:p>
  </w:endnote>
  <w:endnote w:type="continuationSeparator" w:id="1">
    <w:p w:rsidR="00130062" w:rsidRDefault="00130062" w:rsidP="002375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粗宋简体">
    <w:altName w:val="Arial Unicode MS"/>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062" w:rsidRDefault="00130062" w:rsidP="002375D4">
      <w:r>
        <w:separator/>
      </w:r>
    </w:p>
  </w:footnote>
  <w:footnote w:type="continuationSeparator" w:id="1">
    <w:p w:rsidR="00130062" w:rsidRDefault="00130062" w:rsidP="002375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75D4"/>
    <w:rsid w:val="00130062"/>
    <w:rsid w:val="002375D4"/>
    <w:rsid w:val="005E58D4"/>
    <w:rsid w:val="00E7517A"/>
    <w:rsid w:val="00FA4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5D4"/>
    <w:pPr>
      <w:widowControl w:val="0"/>
      <w:jc w:val="both"/>
    </w:pPr>
    <w:rPr>
      <w:rFonts w:ascii="Times New Roman" w:eastAsia="宋体" w:hAnsi="Times New Roman" w:cs="Times New Roman"/>
      <w:szCs w:val="20"/>
    </w:rPr>
  </w:style>
  <w:style w:type="paragraph" w:styleId="2">
    <w:name w:val="heading 2"/>
    <w:aliases w:val="节标题 1.1,b2,H2,标题 1.1,1.1标题2,标题 yjm2,h2,l2,2nd level,Titre2,Header 2,例如：1.1 内容,Heading 2 Hidden,Heading 2 CCBS,HD2,节,DO NOT USE_h2,chn,Chapter Number/Appendix Letter,sect 1.2,第一章 标题 2,ISO1,PIM2,第*章,H21,H22,H211,H23,H212,H221,H2111,H24,H25,H213,H222"/>
    <w:basedOn w:val="a"/>
    <w:next w:val="a"/>
    <w:link w:val="2Char1"/>
    <w:qFormat/>
    <w:rsid w:val="002375D4"/>
    <w:pPr>
      <w:keepNext/>
      <w:keepLines/>
      <w:tabs>
        <w:tab w:val="left" w:pos="2007"/>
        <w:tab w:val="center" w:pos="4535"/>
        <w:tab w:val="left" w:pos="5320"/>
      </w:tabs>
      <w:adjustRightInd w:val="0"/>
      <w:spacing w:line="360" w:lineRule="auto"/>
      <w:jc w:val="center"/>
      <w:textAlignment w:val="baseline"/>
      <w:outlineLvl w:val="1"/>
    </w:pPr>
    <w:rPr>
      <w:rFonts w:ascii="黑体" w:eastAsia="黑体" w:hAnsi="宋体"/>
      <w:b/>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75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375D4"/>
    <w:rPr>
      <w:sz w:val="18"/>
      <w:szCs w:val="18"/>
    </w:rPr>
  </w:style>
  <w:style w:type="paragraph" w:styleId="a4">
    <w:name w:val="footer"/>
    <w:basedOn w:val="a"/>
    <w:link w:val="Char0"/>
    <w:uiPriority w:val="99"/>
    <w:semiHidden/>
    <w:unhideWhenUsed/>
    <w:rsid w:val="002375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375D4"/>
    <w:rPr>
      <w:sz w:val="18"/>
      <w:szCs w:val="18"/>
    </w:rPr>
  </w:style>
  <w:style w:type="character" w:customStyle="1" w:styleId="2Char">
    <w:name w:val="标题 2 Char"/>
    <w:basedOn w:val="a0"/>
    <w:link w:val="2"/>
    <w:uiPriority w:val="9"/>
    <w:semiHidden/>
    <w:rsid w:val="002375D4"/>
    <w:rPr>
      <w:rFonts w:asciiTheme="majorHAnsi" w:eastAsiaTheme="majorEastAsia" w:hAnsiTheme="majorHAnsi" w:cstheme="majorBidi"/>
      <w:b/>
      <w:bCs/>
      <w:sz w:val="32"/>
      <w:szCs w:val="32"/>
    </w:rPr>
  </w:style>
  <w:style w:type="character" w:customStyle="1" w:styleId="2Char1">
    <w:name w:val="标题 2 Char1"/>
    <w:aliases w:val="节标题 1.1 Char,b2 Char,H2 Char,标题 1.1 Char,1.1标题2 Char,标题 yjm2 Char,h2 Char,l2 Char,2nd level Char,Titre2 Char,Header 2 Char,例如：1.1 内容 Char,Heading 2 Hidden Char,Heading 2 CCBS Char,HD2 Char,节 Char,DO NOT USE_h2 Char,chn Char,sect 1.2 Char"/>
    <w:link w:val="2"/>
    <w:rsid w:val="002375D4"/>
    <w:rPr>
      <w:rFonts w:ascii="黑体" w:eastAsia="黑体" w:hAnsi="宋体" w:cs="Times New Roman"/>
      <w:b/>
      <w:kern w:val="0"/>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2015-05-14T08:02:00Z</dcterms:created>
  <dcterms:modified xsi:type="dcterms:W3CDTF">2015-05-14T08:04:00Z</dcterms:modified>
</cp:coreProperties>
</file>