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0B" w:rsidRPr="0059030B" w:rsidRDefault="0059030B" w:rsidP="004C5C9D">
      <w:pPr>
        <w:spacing w:line="467" w:lineRule="exact"/>
        <w:ind w:right="2958"/>
        <w:jc w:val="right"/>
        <w:rPr>
          <w:rFonts w:ascii="宋体" w:eastAsia="宋体" w:hAnsi="Times New Roman" w:cs="宋体"/>
          <w:sz w:val="36"/>
          <w:szCs w:val="36"/>
          <w:lang w:eastAsia="zh-CN"/>
        </w:rPr>
      </w:pPr>
      <w:bookmarkStart w:id="0" w:name="_GoBack"/>
      <w:r>
        <w:rPr>
          <w:rFonts w:ascii="宋体" w:eastAsia="宋体" w:hAnsi="Times New Roman" w:cs="宋体" w:hint="eastAsia"/>
          <w:spacing w:val="2"/>
          <w:position w:val="-4"/>
          <w:sz w:val="36"/>
          <w:szCs w:val="36"/>
          <w:lang w:eastAsia="zh-CN"/>
        </w:rPr>
        <w:t>16吨吊</w:t>
      </w:r>
      <w:r w:rsidRPr="0059030B">
        <w:rPr>
          <w:rFonts w:ascii="宋体" w:eastAsia="宋体" w:hAnsi="Times New Roman" w:cs="宋体" w:hint="eastAsia"/>
          <w:spacing w:val="2"/>
          <w:position w:val="-4"/>
          <w:sz w:val="36"/>
          <w:szCs w:val="36"/>
          <w:lang w:eastAsia="zh-CN"/>
        </w:rPr>
        <w:t>车</w:t>
      </w:r>
      <w:r w:rsidRPr="0059030B">
        <w:rPr>
          <w:rFonts w:ascii="宋体" w:eastAsia="宋体" w:hAnsi="Times New Roman" w:cs="宋体" w:hint="eastAsia"/>
          <w:position w:val="-4"/>
          <w:sz w:val="36"/>
          <w:szCs w:val="36"/>
          <w:lang w:eastAsia="zh-CN"/>
        </w:rPr>
        <w:t>技</w:t>
      </w:r>
      <w:r w:rsidRPr="0059030B">
        <w:rPr>
          <w:rFonts w:ascii="宋体" w:eastAsia="宋体" w:hAnsi="Times New Roman" w:cs="宋体" w:hint="eastAsia"/>
          <w:spacing w:val="2"/>
          <w:position w:val="-4"/>
          <w:sz w:val="36"/>
          <w:szCs w:val="36"/>
          <w:lang w:eastAsia="zh-CN"/>
        </w:rPr>
        <w:t>术规</w:t>
      </w:r>
      <w:r w:rsidRPr="0059030B">
        <w:rPr>
          <w:rFonts w:ascii="宋体" w:eastAsia="宋体" w:hAnsi="Times New Roman" w:cs="宋体" w:hint="eastAsia"/>
          <w:position w:val="-4"/>
          <w:sz w:val="36"/>
          <w:szCs w:val="36"/>
          <w:lang w:eastAsia="zh-CN"/>
        </w:rPr>
        <w:t>范</w:t>
      </w:r>
    </w:p>
    <w:bookmarkEnd w:id="0"/>
    <w:p w:rsidR="0059030B" w:rsidRPr="0059030B" w:rsidRDefault="0059030B" w:rsidP="0059030B">
      <w:pPr>
        <w:spacing w:line="130" w:lineRule="exact"/>
        <w:rPr>
          <w:rFonts w:ascii="宋体" w:eastAsia="宋体" w:hAnsi="Times New Roman" w:cs="宋体"/>
          <w:sz w:val="13"/>
          <w:szCs w:val="13"/>
          <w:lang w:eastAsia="zh-CN"/>
        </w:rPr>
      </w:pPr>
    </w:p>
    <w:p w:rsidR="0059030B" w:rsidRPr="0059030B" w:rsidRDefault="0059030B" w:rsidP="0059030B">
      <w:pPr>
        <w:spacing w:before="9" w:line="160" w:lineRule="exact"/>
        <w:rPr>
          <w:rFonts w:ascii="宋体" w:eastAsia="宋体" w:hAnsi="Times New Roman" w:cs="宋体"/>
          <w:sz w:val="16"/>
          <w:szCs w:val="16"/>
          <w:lang w:eastAsia="zh-CN"/>
        </w:rPr>
      </w:pPr>
    </w:p>
    <w:p w:rsidR="0059030B" w:rsidRPr="0059030B" w:rsidRDefault="0059030B" w:rsidP="0059030B">
      <w:pPr>
        <w:spacing w:line="200" w:lineRule="exact"/>
        <w:rPr>
          <w:rFonts w:ascii="宋体" w:eastAsia="宋体" w:hAnsi="Times New Roman" w:cs="宋体"/>
          <w:sz w:val="20"/>
          <w:szCs w:val="20"/>
          <w:lang w:eastAsia="zh-CN"/>
        </w:rPr>
      </w:pPr>
    </w:p>
    <w:p w:rsidR="0059030B" w:rsidRPr="0059030B" w:rsidRDefault="0059030B" w:rsidP="0059030B">
      <w:pPr>
        <w:spacing w:line="200" w:lineRule="exact"/>
        <w:rPr>
          <w:rFonts w:ascii="宋体" w:eastAsia="宋体" w:hAnsi="Times New Roman" w:cs="宋体"/>
          <w:sz w:val="20"/>
          <w:szCs w:val="20"/>
          <w:lang w:eastAsia="zh-CN"/>
        </w:rPr>
      </w:pPr>
    </w:p>
    <w:p w:rsidR="0059030B" w:rsidRPr="0059030B" w:rsidRDefault="0059030B" w:rsidP="0059030B">
      <w:pPr>
        <w:spacing w:line="200" w:lineRule="exact"/>
        <w:rPr>
          <w:rFonts w:ascii="宋体" w:eastAsia="宋体" w:hAnsi="Times New Roman" w:cs="宋体"/>
          <w:sz w:val="20"/>
          <w:szCs w:val="20"/>
          <w:lang w:eastAsia="zh-CN"/>
        </w:rPr>
      </w:pPr>
    </w:p>
    <w:p w:rsidR="0059030B" w:rsidRPr="0059030B" w:rsidRDefault="0059030B" w:rsidP="0059030B">
      <w:pPr>
        <w:spacing w:line="420" w:lineRule="exact"/>
        <w:ind w:left="119" w:right="-20"/>
        <w:rPr>
          <w:rFonts w:ascii="宋体" w:eastAsia="宋体" w:hAnsi="Times New Roman" w:cs="宋体"/>
          <w:sz w:val="28"/>
          <w:szCs w:val="28"/>
          <w:lang w:eastAsia="zh-CN"/>
        </w:rPr>
      </w:pPr>
      <w:r w:rsidRPr="0059030B">
        <w:rPr>
          <w:rFonts w:ascii="宋体" w:eastAsia="宋体" w:hAnsi="Times New Roman" w:cs="宋体"/>
          <w:position w:val="-3"/>
          <w:sz w:val="36"/>
          <w:szCs w:val="36"/>
          <w:lang w:eastAsia="zh-CN"/>
        </w:rPr>
        <w:t>1</w:t>
      </w:r>
      <w:r w:rsidRPr="0059030B">
        <w:rPr>
          <w:rFonts w:ascii="宋体" w:eastAsia="宋体" w:hAnsi="Times New Roman" w:cs="宋体"/>
          <w:spacing w:val="65"/>
          <w:position w:val="-3"/>
          <w:sz w:val="36"/>
          <w:szCs w:val="36"/>
          <w:lang w:eastAsia="zh-CN"/>
        </w:rPr>
        <w:t xml:space="preserve"> </w:t>
      </w:r>
      <w:r w:rsidRPr="0059030B">
        <w:rPr>
          <w:rFonts w:ascii="宋体" w:eastAsia="宋体" w:hAnsi="Times New Roman" w:cs="宋体" w:hint="eastAsia"/>
          <w:position w:val="-3"/>
          <w:sz w:val="28"/>
          <w:szCs w:val="28"/>
          <w:lang w:eastAsia="zh-CN"/>
        </w:rPr>
        <w:t>范围</w:t>
      </w:r>
    </w:p>
    <w:p w:rsidR="0059030B" w:rsidRPr="0059030B" w:rsidRDefault="0059030B" w:rsidP="0059030B">
      <w:pPr>
        <w:spacing w:before="6" w:line="130" w:lineRule="exact"/>
        <w:rPr>
          <w:rFonts w:ascii="宋体" w:eastAsia="宋体" w:hAnsi="Times New Roman" w:cs="宋体"/>
          <w:sz w:val="13"/>
          <w:szCs w:val="13"/>
          <w:lang w:eastAsia="zh-CN"/>
        </w:rPr>
      </w:pPr>
    </w:p>
    <w:p w:rsidR="0059030B" w:rsidRPr="0059030B" w:rsidRDefault="0059030B" w:rsidP="0059030B">
      <w:pPr>
        <w:spacing w:line="317" w:lineRule="auto"/>
        <w:ind w:left="119" w:right="42" w:firstLine="497"/>
        <w:jc w:val="both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本规范明确了</w:t>
      </w:r>
      <w:r>
        <w:rPr>
          <w:rFonts w:ascii="宋体" w:eastAsia="宋体" w:hAnsi="Times New Roman" w:cs="宋体" w:hint="eastAsia"/>
          <w:sz w:val="24"/>
          <w:szCs w:val="24"/>
          <w:lang w:eastAsia="zh-CN"/>
        </w:rPr>
        <w:t>16吨吊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车的基本技术原则</w:t>
      </w:r>
      <w:r>
        <w:rPr>
          <w:rFonts w:ascii="宋体" w:eastAsia="宋体" w:hAnsi="Times New Roman" w:cs="宋体" w:hint="eastAsia"/>
          <w:spacing w:val="-64"/>
          <w:sz w:val="24"/>
          <w:szCs w:val="24"/>
          <w:lang w:eastAsia="zh-CN"/>
        </w:rPr>
        <w:t>、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配置、验收、使用及运维等工作。</w:t>
      </w:r>
    </w:p>
    <w:p w:rsidR="0059030B" w:rsidRPr="0059030B" w:rsidRDefault="0059030B" w:rsidP="0059030B">
      <w:pPr>
        <w:spacing w:line="526" w:lineRule="exact"/>
        <w:ind w:left="119" w:right="-20"/>
        <w:rPr>
          <w:rFonts w:ascii="宋体" w:eastAsia="宋体" w:hAnsi="Times New Roman" w:cs="宋体"/>
          <w:sz w:val="28"/>
          <w:szCs w:val="28"/>
          <w:lang w:eastAsia="zh-CN"/>
        </w:rPr>
      </w:pPr>
      <w:r w:rsidRPr="0059030B">
        <w:rPr>
          <w:rFonts w:ascii="宋体" w:eastAsia="宋体" w:hAnsi="Times New Roman" w:cs="宋体"/>
          <w:position w:val="-5"/>
          <w:sz w:val="36"/>
          <w:szCs w:val="36"/>
          <w:lang w:eastAsia="zh-CN"/>
        </w:rPr>
        <w:t>2</w:t>
      </w:r>
      <w:r w:rsidRPr="0059030B">
        <w:rPr>
          <w:rFonts w:ascii="宋体" w:eastAsia="宋体" w:hAnsi="Times New Roman" w:cs="宋体"/>
          <w:spacing w:val="65"/>
          <w:position w:val="-5"/>
          <w:sz w:val="36"/>
          <w:szCs w:val="36"/>
          <w:lang w:eastAsia="zh-CN"/>
        </w:rPr>
        <w:t xml:space="preserve"> </w:t>
      </w:r>
      <w:r w:rsidRPr="0059030B">
        <w:rPr>
          <w:rFonts w:ascii="宋体" w:eastAsia="宋体" w:hAnsi="Times New Roman" w:cs="宋体" w:hint="eastAsia"/>
          <w:position w:val="-5"/>
          <w:sz w:val="28"/>
          <w:szCs w:val="28"/>
          <w:lang w:eastAsia="zh-CN"/>
        </w:rPr>
        <w:t>规范</w:t>
      </w:r>
      <w:r w:rsidRPr="0059030B">
        <w:rPr>
          <w:rFonts w:ascii="宋体" w:eastAsia="宋体" w:hAnsi="Times New Roman" w:cs="宋体" w:hint="eastAsia"/>
          <w:spacing w:val="2"/>
          <w:position w:val="-5"/>
          <w:sz w:val="28"/>
          <w:szCs w:val="28"/>
          <w:lang w:eastAsia="zh-CN"/>
        </w:rPr>
        <w:t>性</w:t>
      </w:r>
      <w:r w:rsidRPr="0059030B">
        <w:rPr>
          <w:rFonts w:ascii="宋体" w:eastAsia="宋体" w:hAnsi="Times New Roman" w:cs="宋体" w:hint="eastAsia"/>
          <w:position w:val="-5"/>
          <w:sz w:val="28"/>
          <w:szCs w:val="28"/>
          <w:lang w:eastAsia="zh-CN"/>
        </w:rPr>
        <w:t>引用文件</w:t>
      </w:r>
    </w:p>
    <w:p w:rsidR="0059030B" w:rsidRPr="0059030B" w:rsidRDefault="0059030B" w:rsidP="0059030B">
      <w:pPr>
        <w:spacing w:before="6" w:line="130" w:lineRule="exact"/>
        <w:rPr>
          <w:rFonts w:ascii="宋体" w:eastAsia="宋体" w:hAnsi="Times New Roman" w:cs="宋体"/>
          <w:sz w:val="13"/>
          <w:szCs w:val="13"/>
          <w:lang w:eastAsia="zh-CN"/>
        </w:rPr>
      </w:pPr>
    </w:p>
    <w:p w:rsidR="0059030B" w:rsidRPr="0059030B" w:rsidRDefault="0059030B" w:rsidP="0059030B">
      <w:pPr>
        <w:spacing w:line="316" w:lineRule="auto"/>
        <w:ind w:left="119" w:right="41" w:firstLine="480"/>
        <w:jc w:val="both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下列文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件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中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的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条款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通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过本标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准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的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引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用而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成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为本标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准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的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条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款。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凡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是注日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期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的</w:t>
      </w:r>
      <w:r w:rsidRPr="0059030B">
        <w:rPr>
          <w:rFonts w:ascii="宋体" w:eastAsia="宋体" w:hAnsi="Times New Roman" w:cs="宋体" w:hint="eastAsia"/>
          <w:spacing w:val="7"/>
          <w:sz w:val="24"/>
          <w:szCs w:val="24"/>
          <w:lang w:eastAsia="zh-CN"/>
        </w:rPr>
        <w:t>引</w:t>
      </w:r>
      <w:r w:rsidRPr="0059030B">
        <w:rPr>
          <w:rFonts w:ascii="宋体" w:eastAsia="宋体" w:hAnsi="Times New Roman" w:cs="宋体" w:hint="eastAsia"/>
          <w:spacing w:val="5"/>
          <w:sz w:val="24"/>
          <w:szCs w:val="24"/>
          <w:lang w:eastAsia="zh-CN"/>
        </w:rPr>
        <w:t>用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文</w:t>
      </w: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件</w:t>
      </w:r>
      <w:r w:rsidRPr="0059030B">
        <w:rPr>
          <w:rFonts w:ascii="宋体" w:eastAsia="宋体" w:hAnsi="Times New Roman" w:cs="宋体" w:hint="eastAsia"/>
          <w:spacing w:val="-10"/>
          <w:sz w:val="24"/>
          <w:szCs w:val="24"/>
          <w:lang w:eastAsia="zh-CN"/>
        </w:rPr>
        <w:t>，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其随后所有的修改</w:t>
      </w:r>
      <w:r w:rsidRPr="0059030B">
        <w:rPr>
          <w:rFonts w:ascii="宋体" w:eastAsia="宋体" w:hAnsi="Times New Roman" w:cs="宋体" w:hint="eastAsia"/>
          <w:spacing w:val="-10"/>
          <w:sz w:val="24"/>
          <w:szCs w:val="24"/>
          <w:lang w:eastAsia="zh-CN"/>
        </w:rPr>
        <w:t>单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（不包括勘误的内容</w:t>
      </w:r>
      <w:r w:rsidRPr="0059030B">
        <w:rPr>
          <w:rFonts w:ascii="宋体" w:eastAsia="宋体" w:hAnsi="Times New Roman" w:cs="宋体" w:hint="eastAsia"/>
          <w:spacing w:val="-10"/>
          <w:sz w:val="24"/>
          <w:szCs w:val="24"/>
          <w:lang w:eastAsia="zh-CN"/>
        </w:rPr>
        <w:t>）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或修订版均不适用于本标</w:t>
      </w:r>
      <w:r w:rsidRPr="0059030B">
        <w:rPr>
          <w:rFonts w:ascii="宋体" w:eastAsia="宋体" w:hAnsi="Times New Roman" w:cs="宋体" w:hint="eastAsia"/>
          <w:spacing w:val="2"/>
          <w:sz w:val="24"/>
          <w:szCs w:val="24"/>
          <w:lang w:eastAsia="zh-CN"/>
        </w:rPr>
        <w:t>准</w:t>
      </w:r>
      <w:r w:rsidRPr="0059030B">
        <w:rPr>
          <w:rFonts w:ascii="宋体" w:eastAsia="宋体" w:hAnsi="Times New Roman" w:cs="宋体" w:hint="eastAsia"/>
          <w:spacing w:val="-10"/>
          <w:sz w:val="24"/>
          <w:szCs w:val="24"/>
          <w:lang w:eastAsia="zh-CN"/>
        </w:rPr>
        <w:t>。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然而</w:t>
      </w:r>
      <w:r w:rsidRPr="0059030B">
        <w:rPr>
          <w:rFonts w:ascii="宋体" w:eastAsia="宋体" w:hAnsi="Times New Roman" w:cs="宋体" w:hint="eastAsia"/>
          <w:spacing w:val="-10"/>
          <w:sz w:val="24"/>
          <w:szCs w:val="24"/>
          <w:lang w:eastAsia="zh-CN"/>
        </w:rPr>
        <w:t>，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鼓</w:t>
      </w: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励根据本标准达成协议的各方研究是否可使用这些文件的最新版本</w:t>
      </w:r>
      <w:r w:rsidRPr="0059030B">
        <w:rPr>
          <w:rFonts w:ascii="宋体" w:eastAsia="宋体" w:hAnsi="Times New Roman" w:cs="宋体" w:hint="eastAsia"/>
          <w:spacing w:val="-48"/>
          <w:sz w:val="24"/>
          <w:szCs w:val="24"/>
          <w:lang w:eastAsia="zh-CN"/>
        </w:rPr>
        <w:t>。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凡是不注日期的引</w:t>
      </w: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用文件，其最新版本适用于本标准。</w:t>
      </w:r>
    </w:p>
    <w:p w:rsidR="0059030B" w:rsidRPr="0059030B" w:rsidRDefault="0059030B" w:rsidP="0059030B">
      <w:pPr>
        <w:spacing w:before="4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P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GB 11567.1-2001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汽车和挂车侧面防护要求</w:t>
      </w:r>
    </w:p>
    <w:p w:rsidR="0059030B" w:rsidRPr="0059030B" w:rsidRDefault="0059030B" w:rsidP="0059030B">
      <w:pPr>
        <w:spacing w:before="2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P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GB 11567.2-2001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汽车和挂车后下部防护</w:t>
      </w:r>
      <w:r w:rsidRPr="0059030B">
        <w:rPr>
          <w:rFonts w:ascii="宋体" w:eastAsia="宋体" w:hAnsi="Times New Roman" w:cs="宋体" w:hint="eastAsia"/>
          <w:spacing w:val="1"/>
          <w:sz w:val="24"/>
          <w:szCs w:val="24"/>
          <w:lang w:eastAsia="zh-CN"/>
        </w:rPr>
        <w:t>要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求</w:t>
      </w:r>
    </w:p>
    <w:p w:rsidR="0059030B" w:rsidRPr="0059030B" w:rsidRDefault="0059030B" w:rsidP="0059030B">
      <w:pPr>
        <w:spacing w:before="5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P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GB/T 12534-1990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汽车道路拭验方法通则</w:t>
      </w:r>
    </w:p>
    <w:p w:rsidR="0059030B" w:rsidRPr="0059030B" w:rsidRDefault="0059030B" w:rsidP="0059030B">
      <w:pPr>
        <w:spacing w:before="2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P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GB 1495-2002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汽车加速行驶车外噪声限值及测量方法</w:t>
      </w:r>
    </w:p>
    <w:p w:rsidR="0059030B" w:rsidRPr="0059030B" w:rsidRDefault="0059030B" w:rsidP="0059030B">
      <w:pPr>
        <w:spacing w:before="4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P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GB 1589-2004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道路车辆外廓尺寸、轴荷及质量限值</w:t>
      </w:r>
    </w:p>
    <w:p w:rsidR="0059030B" w:rsidRPr="0059030B" w:rsidRDefault="0059030B" w:rsidP="0059030B">
      <w:pPr>
        <w:spacing w:before="2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P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GB 4785-2007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汽车及挂车外部照明和光信号装置的安装规定</w:t>
      </w:r>
    </w:p>
    <w:p w:rsidR="0059030B" w:rsidRPr="0059030B" w:rsidRDefault="0059030B" w:rsidP="0059030B">
      <w:pPr>
        <w:spacing w:before="4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P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GB 7258-2014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机动车运行安全技术条件</w:t>
      </w:r>
    </w:p>
    <w:p w:rsidR="0059030B" w:rsidRPr="0059030B" w:rsidRDefault="0059030B" w:rsidP="0059030B">
      <w:pPr>
        <w:spacing w:before="2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GB/T 13306-2011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标牌</w:t>
      </w:r>
    </w:p>
    <w:p w:rsidR="0059030B" w:rsidRPr="0059030B" w:rsidRDefault="0059030B" w:rsidP="0059030B">
      <w:pPr>
        <w:spacing w:line="240" w:lineRule="auto"/>
        <w:ind w:left="685" w:right="-20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position w:val="-4"/>
          <w:sz w:val="24"/>
          <w:szCs w:val="24"/>
          <w:lang w:eastAsia="zh-CN"/>
        </w:rPr>
        <w:t xml:space="preserve">QC/T 252-1998 </w:t>
      </w:r>
      <w:r w:rsidRPr="0059030B">
        <w:rPr>
          <w:rFonts w:ascii="宋体" w:eastAsia="宋体" w:hAnsi="Times New Roman" w:cs="宋体" w:hint="eastAsia"/>
          <w:position w:val="-4"/>
          <w:sz w:val="24"/>
          <w:szCs w:val="24"/>
          <w:lang w:eastAsia="zh-CN"/>
        </w:rPr>
        <w:t>专用汽车定型试验规程</w:t>
      </w:r>
      <w:r w:rsidRPr="0059030B">
        <w:rPr>
          <w:rFonts w:ascii="宋体" w:eastAsia="宋体" w:hAnsi="Times New Roman" w:cs="宋体"/>
          <w:position w:val="-4"/>
          <w:sz w:val="24"/>
          <w:szCs w:val="24"/>
          <w:lang w:eastAsia="zh-CN"/>
        </w:rPr>
        <w:t xml:space="preserve"> QC/T484</w:t>
      </w:r>
      <w:r w:rsidRPr="0059030B">
        <w:rPr>
          <w:rFonts w:ascii="宋体" w:eastAsia="宋体" w:hAnsi="Times New Roman" w:cs="宋体"/>
          <w:spacing w:val="-60"/>
          <w:position w:val="-4"/>
          <w:sz w:val="24"/>
          <w:szCs w:val="24"/>
          <w:lang w:eastAsia="zh-CN"/>
        </w:rPr>
        <w:t xml:space="preserve"> </w:t>
      </w:r>
      <w:r w:rsidRPr="0059030B">
        <w:rPr>
          <w:rFonts w:ascii="宋体" w:eastAsia="宋体" w:hAnsi="Times New Roman" w:cs="宋体" w:hint="eastAsia"/>
          <w:position w:val="-4"/>
          <w:sz w:val="24"/>
          <w:szCs w:val="24"/>
          <w:lang w:eastAsia="zh-CN"/>
        </w:rPr>
        <w:t>汽车油漆涂层</w:t>
      </w:r>
    </w:p>
    <w:p w:rsidR="0059030B" w:rsidRPr="0059030B" w:rsidRDefault="0059030B" w:rsidP="0059030B">
      <w:pPr>
        <w:spacing w:before="4" w:line="110" w:lineRule="exact"/>
        <w:rPr>
          <w:rFonts w:ascii="宋体" w:eastAsia="宋体" w:hAnsi="Times New Roman" w:cs="宋体"/>
          <w:sz w:val="11"/>
          <w:szCs w:val="11"/>
          <w:lang w:eastAsia="zh-CN"/>
        </w:rPr>
      </w:pPr>
    </w:p>
    <w:p w:rsidR="0059030B" w:rsidRPr="0059030B" w:rsidRDefault="0059030B" w:rsidP="0059030B">
      <w:pPr>
        <w:spacing w:line="317" w:lineRule="auto"/>
        <w:ind w:left="685" w:right="3268"/>
        <w:rPr>
          <w:rFonts w:ascii="宋体" w:eastAsia="宋体" w:hAnsi="Times New Roman" w:cs="宋体"/>
          <w:sz w:val="24"/>
          <w:szCs w:val="24"/>
          <w:lang w:eastAsia="zh-CN"/>
        </w:rPr>
      </w:pP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DL/T 586-2008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电力设备监造技术导则</w:t>
      </w:r>
      <w:r w:rsidRPr="0059030B">
        <w:rPr>
          <w:rFonts w:ascii="宋体" w:eastAsia="宋体" w:hAnsi="Times New Roman" w:cs="宋体"/>
          <w:sz w:val="24"/>
          <w:szCs w:val="24"/>
          <w:lang w:eastAsia="zh-CN"/>
        </w:rPr>
        <w:t xml:space="preserve"> 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中国南方电网有限责任公</w:t>
      </w:r>
      <w:r w:rsidRPr="0059030B">
        <w:rPr>
          <w:rFonts w:ascii="宋体" w:eastAsia="宋体" w:hAnsi="Times New Roman" w:cs="宋体" w:hint="eastAsia"/>
          <w:spacing w:val="1"/>
          <w:sz w:val="24"/>
          <w:szCs w:val="24"/>
          <w:lang w:eastAsia="zh-CN"/>
        </w:rPr>
        <w:t>司</w:t>
      </w:r>
      <w:r w:rsidRPr="0059030B">
        <w:rPr>
          <w:rFonts w:ascii="宋体" w:eastAsia="宋体" w:hAnsi="Times New Roman" w:cs="宋体" w:hint="eastAsia"/>
          <w:sz w:val="24"/>
          <w:szCs w:val="24"/>
          <w:lang w:eastAsia="zh-CN"/>
        </w:rPr>
        <w:t>视觉识别系统管理手册</w:t>
      </w:r>
    </w:p>
    <w:p w:rsidR="0059030B" w:rsidRPr="0059030B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</w:p>
    <w:p w:rsidR="0059030B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</w:p>
    <w:p w:rsidR="0059030B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</w:p>
    <w:p w:rsidR="0059030B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</w:p>
    <w:p w:rsidR="0059030B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</w:p>
    <w:p w:rsidR="0059030B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</w:p>
    <w:p w:rsidR="0059030B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</w:p>
    <w:p w:rsidR="0059030B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 w:hint="eastAsia"/>
          <w:b/>
          <w:bCs/>
          <w:sz w:val="40"/>
          <w:lang w:eastAsia="zh-CN"/>
        </w:rPr>
      </w:pPr>
    </w:p>
    <w:p w:rsidR="004C5C9D" w:rsidRDefault="004C5C9D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</w:p>
    <w:p w:rsidR="0059030B" w:rsidRPr="00401D4E" w:rsidRDefault="0059030B" w:rsidP="0059030B">
      <w:pPr>
        <w:autoSpaceDE/>
        <w:autoSpaceDN/>
        <w:snapToGrid w:val="0"/>
        <w:spacing w:line="480" w:lineRule="exact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  <w:r w:rsidRPr="00401D4E">
        <w:rPr>
          <w:rFonts w:ascii="黑体" w:eastAsia="黑体" w:hAnsi="黑体"/>
          <w:b/>
          <w:bCs/>
          <w:sz w:val="40"/>
          <w:lang w:eastAsia="zh-CN"/>
        </w:rPr>
        <w:lastRenderedPageBreak/>
        <w:tab/>
      </w:r>
      <w:r w:rsidRPr="00401D4E">
        <w:rPr>
          <w:rFonts w:ascii="黑体" w:eastAsia="黑体" w:hAnsi="黑体" w:hint="eastAsia"/>
          <w:b/>
          <w:bCs/>
          <w:sz w:val="40"/>
          <w:lang w:eastAsia="zh-CN"/>
        </w:rPr>
        <w:t>上车部分技术规格</w:t>
      </w:r>
    </w:p>
    <w:p w:rsidR="0059030B" w:rsidRPr="00401D4E" w:rsidRDefault="0059030B" w:rsidP="0059030B">
      <w:pPr>
        <w:spacing w:line="380" w:lineRule="exact"/>
        <w:rPr>
          <w:rFonts w:ascii="黑体" w:eastAsia="黑体" w:hAnsi="宋体"/>
          <w:b/>
          <w:bCs/>
          <w:spacing w:val="13"/>
          <w:sz w:val="40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59030B" w:rsidRPr="00401D4E" w:rsidRDefault="0059030B" w:rsidP="0059030B">
      <w:pPr>
        <w:spacing w:line="480" w:lineRule="exact"/>
        <w:rPr>
          <w:rFonts w:ascii="宋体" w:eastAsia="宋体" w:hAnsi="宋体"/>
          <w:kern w:val="2"/>
          <w:sz w:val="24"/>
          <w:szCs w:val="24"/>
          <w:u w:val="single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主臂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ind w:left="3600" w:hangingChars="1500" w:hanging="360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4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节，十二边形截面的筒形焊接结构。单缸双绳排伸缩系统，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left="34" w:hangingChars="14" w:hanging="34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一个油缸可以控制所有吊臂的伸缩，达到任意臂长组合。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firstLine="465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主臂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长度</w:t>
            </w:r>
            <w:r w:rsidRPr="00401D4E">
              <w:rPr>
                <w:rFonts w:ascii="宋体" w:eastAsia="宋体" w:hAnsi="宋体"/>
                <w:lang w:eastAsia="zh-CN"/>
              </w:rPr>
              <w:t>………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10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</w:rPr>
              <w:t>m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～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32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</w:rPr>
              <w:t>m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firstLine="465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伸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/缩速度</w:t>
            </w:r>
            <w:r w:rsidRPr="00401D4E">
              <w:rPr>
                <w:rFonts w:ascii="宋体" w:eastAsia="宋体" w:hAnsi="宋体"/>
                <w:lang w:eastAsia="zh-CN"/>
              </w:rPr>
              <w:t>………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全伸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/缩50s/50s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  <w:lang w:eastAsia="zh-CN"/>
              </w:rPr>
              <w:t>副臂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ind w:left="3600" w:hangingChars="1500" w:hanging="360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桁架式焊接结构，具有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0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°、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15°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、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30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°三种固定副臂安角。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left="3600" w:hangingChars="1500" w:hanging="360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副臂长度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8.15m。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ind w:left="3720" w:hangingChars="1550" w:hanging="372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臂端单滑轮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ind w:left="2640" w:hangingChars="1100" w:hanging="264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单滑轮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 xml:space="preserve">, 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安装在主臂顶端用于单股钢丝绳起重作业。</w:t>
            </w:r>
          </w:p>
          <w:p w:rsidR="0059030B" w:rsidRPr="00401D4E" w:rsidRDefault="0059030B" w:rsidP="00051694">
            <w:pPr>
              <w:tabs>
                <w:tab w:val="num" w:pos="1406"/>
              </w:tabs>
              <w:spacing w:line="360" w:lineRule="auto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臂端单滑轮的起重性能同对应主工况的性能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,但最大起重量不能超过2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吨。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变幅机构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单变幅油缸。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变幅速度</w:t>
            </w:r>
            <w:r w:rsidRPr="00401D4E">
              <w:rPr>
                <w:rFonts w:ascii="宋体" w:eastAsia="宋体" w:hAnsi="宋体"/>
                <w:lang w:eastAsia="zh-CN"/>
              </w:rPr>
              <w:t>………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0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°</w:t>
            </w:r>
            <w:r w:rsidRPr="00401D4E">
              <w:rPr>
                <w:rFonts w:ascii="宋体" w:eastAsia="宋体" w:hAnsi="宋体" w:hint="eastAsia"/>
                <w:kern w:val="2"/>
                <w:lang w:eastAsia="zh-CN"/>
              </w:rPr>
              <w:t>到</w:t>
            </w:r>
            <w:r w:rsidRPr="00401D4E">
              <w:rPr>
                <w:rFonts w:ascii="宋体" w:eastAsia="宋体" w:hAnsi="宋体"/>
                <w:kern w:val="2"/>
                <w:lang w:eastAsia="zh-CN"/>
              </w:rPr>
              <w:t>+80</w:t>
            </w:r>
            <w:r w:rsidRPr="00401D4E">
              <w:rPr>
                <w:rFonts w:ascii="宋体" w:hAnsi="PMingLiU" w:hint="eastAsia"/>
                <w:kern w:val="2"/>
                <w:lang w:eastAsia="zh-CN"/>
              </w:rPr>
              <w:t>∘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于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35s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u w:val="single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  <w:lang w:eastAsia="zh-CN"/>
              </w:rPr>
              <w:t>主起升机构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spacing w:line="48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由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液压马达驱动，内置式行星齿轮减速机和常闭式制动器，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双折线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卷筒，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不旋转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钢丝绳。</w:t>
            </w:r>
          </w:p>
          <w:p w:rsidR="0059030B" w:rsidRPr="00E97A04" w:rsidRDefault="0059030B" w:rsidP="00051694">
            <w:pPr>
              <w:autoSpaceDE/>
              <w:autoSpaceDN/>
              <w:spacing w:line="380" w:lineRule="exact"/>
              <w:ind w:left="2520" w:hangingChars="1050" w:hanging="252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 xml:space="preserve">    单绳速度(空载)</w:t>
            </w:r>
            <w:r w:rsidRPr="00401D4E">
              <w:rPr>
                <w:rFonts w:ascii="宋体" w:eastAsia="宋体" w:hAnsi="宋体"/>
                <w:lang w:eastAsia="zh-CN"/>
              </w:rPr>
              <w:t xml:space="preserve"> ………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130m/min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ind w:left="3720" w:hangingChars="1550" w:hanging="3720"/>
        <w:rPr>
          <w:rFonts w:ascii="宋体" w:eastAsia="宋体" w:hAnsi="宋体"/>
          <w:kern w:val="2"/>
          <w:sz w:val="24"/>
          <w:szCs w:val="24"/>
          <w:lang w:eastAsia="zh-CN"/>
        </w:rPr>
      </w:pPr>
    </w:p>
    <w:p w:rsidR="0059030B" w:rsidRPr="00401D4E" w:rsidRDefault="0059030B" w:rsidP="0059030B">
      <w:pPr>
        <w:autoSpaceDE/>
        <w:autoSpaceDN/>
        <w:spacing w:line="380" w:lineRule="exact"/>
        <w:ind w:left="2640" w:hangingChars="1100" w:hanging="2640"/>
        <w:rPr>
          <w:rFonts w:ascii="宋体" w:eastAsia="宋体" w:hAnsi="宋体"/>
          <w:kern w:val="2"/>
          <w:sz w:val="24"/>
          <w:szCs w:val="24"/>
          <w:lang w:eastAsia="zh-CN"/>
        </w:rPr>
      </w:pPr>
      <w:r w:rsidRPr="00401D4E">
        <w:rPr>
          <w:rFonts w:ascii="宋体" w:eastAsia="宋体" w:hAnsi="宋体" w:hint="eastAsia"/>
          <w:kern w:val="2"/>
          <w:sz w:val="24"/>
          <w:szCs w:val="24"/>
          <w:u w:val="single"/>
        </w:rPr>
        <w:t>起重吊钩</w:t>
      </w:r>
    </w:p>
    <w:p w:rsidR="0059030B" w:rsidRPr="00401D4E" w:rsidRDefault="0059030B" w:rsidP="0059030B">
      <w:pPr>
        <w:autoSpaceDE/>
        <w:autoSpaceDN/>
        <w:spacing w:line="380" w:lineRule="exact"/>
        <w:ind w:left="2640" w:hangingChars="1100" w:hanging="2640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49"/>
        <w:gridCol w:w="1186"/>
        <w:gridCol w:w="1575"/>
        <w:gridCol w:w="1134"/>
        <w:gridCol w:w="1530"/>
        <w:gridCol w:w="1413"/>
        <w:gridCol w:w="1411"/>
      </w:tblGrid>
      <w:tr w:rsidR="0059030B" w:rsidRPr="00401D4E" w:rsidTr="00051694">
        <w:trPr>
          <w:trHeight w:val="2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</w:rPr>
            </w:pPr>
            <w:r w:rsidRPr="00401D4E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lang w:eastAsia="zh-CN"/>
              </w:rPr>
              <w:t>吊钩类型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</w:rPr>
            </w:pPr>
            <w:r w:rsidRPr="00401D4E">
              <w:rPr>
                <w:rFonts w:ascii="宋体" w:eastAsia="宋体" w:hAnsi="宋体" w:hint="eastAsia"/>
                <w:sz w:val="24"/>
              </w:rPr>
              <w:t>起重量（</w:t>
            </w:r>
            <w:r w:rsidRPr="00401D4E">
              <w:rPr>
                <w:rFonts w:ascii="宋体" w:eastAsia="宋体" w:hAnsi="宋体"/>
                <w:sz w:val="24"/>
              </w:rPr>
              <w:t>t）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</w:rPr>
            </w:pPr>
            <w:r w:rsidRPr="00401D4E">
              <w:rPr>
                <w:rFonts w:ascii="宋体" w:eastAsia="宋体" w:hAnsi="宋体" w:hint="eastAsia"/>
                <w:sz w:val="24"/>
              </w:rPr>
              <w:t>倍率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</w:rPr>
            </w:pPr>
            <w:r w:rsidRPr="00401D4E">
              <w:rPr>
                <w:rFonts w:ascii="宋体" w:eastAsia="宋体" w:hAnsi="宋体" w:hint="eastAsia"/>
                <w:sz w:val="24"/>
              </w:rPr>
              <w:t>重量（</w:t>
            </w:r>
            <w:r w:rsidRPr="00401D4E">
              <w:rPr>
                <w:rFonts w:ascii="宋体" w:eastAsia="宋体" w:hAnsi="宋体"/>
                <w:sz w:val="24"/>
              </w:rPr>
              <w:t>kg）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401D4E">
              <w:rPr>
                <w:rFonts w:ascii="宋体" w:eastAsia="宋体" w:hAnsi="宋体" w:hint="eastAsia"/>
                <w:sz w:val="24"/>
              </w:rPr>
              <w:t>数量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401D4E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59030B" w:rsidRPr="00401D4E" w:rsidTr="00051694">
        <w:trPr>
          <w:trHeight w:val="2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</w:rPr>
            </w:pPr>
            <w:r w:rsidRPr="00401D4E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lang w:eastAsia="zh-CN"/>
              </w:rPr>
              <w:t>主吊钩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单钩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030B" w:rsidRPr="00401D4E" w:rsidTr="00051694">
        <w:trPr>
          <w:trHeight w:val="20"/>
          <w:jc w:val="center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</w:rPr>
            </w:pPr>
            <w:r w:rsidRPr="00401D4E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lang w:eastAsia="zh-CN"/>
              </w:rPr>
              <w:t>副吊钩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240" w:lineRule="atLeast"/>
              <w:textAlignment w:val="auto"/>
              <w:rPr>
                <w:rFonts w:ascii="宋体" w:eastAsia="宋体" w:hAnsi="宋体" w:cs="Arial"/>
              </w:rPr>
            </w:pPr>
            <w:r w:rsidRPr="00401D4E">
              <w:rPr>
                <w:rFonts w:ascii="宋体" w:eastAsia="宋体" w:hAnsi="宋体" w:cs="Arial" w:hint="eastAsia"/>
              </w:rPr>
              <w:t>单钩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回转机构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单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排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球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外齿式回转支承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，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右侧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布置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单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回转机构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，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由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液压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马达驱动行星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齿轮回转机构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减速器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驱动，可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连续回转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</w:rPr>
              <w:t>360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</w:rPr>
              <w:sym w:font="Arial" w:char="00B0"/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具有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动力控制或自由回转的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功能，可无级调速。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回转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速度</w:t>
            </w:r>
            <w:r w:rsidRPr="00401D4E">
              <w:rPr>
                <w:rFonts w:ascii="宋体" w:eastAsia="宋体" w:hAnsi="宋体"/>
                <w:lang w:eastAsia="zh-CN"/>
              </w:rPr>
              <w:t>………</w:t>
            </w:r>
            <w:r w:rsidRPr="00A138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Pr="00A13829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～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3r/min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  <w:lang w:eastAsia="zh-CN"/>
              </w:rPr>
              <w:t>操纵方式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机械操纵。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上车操纵室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spacing w:line="48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按人机工程学设计，外开式车门，可调式座椅。</w:t>
            </w:r>
          </w:p>
          <w:p w:rsidR="0059030B" w:rsidRPr="00401D4E" w:rsidRDefault="0059030B" w:rsidP="00051694">
            <w:pPr>
              <w:spacing w:line="48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装有安全玻璃和顶部保护栏。前窗装有遮阳板。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标配风扇，选装空调。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ind w:left="3600" w:hangingChars="1500" w:hanging="3600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安全装置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液压平衡阀；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液压溢流阀；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液压双向锁；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力矩限制器；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操纵杆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弹簧式回中系统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；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三圈保护器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,防止钢丝绳过放；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臂头设置高度限位，防止钢丝绳过卷；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自由滑转，回转锁止，三色警示灯。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力矩限制器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ind w:left="3600" w:hangingChars="1500" w:hanging="360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上车操纵室内的安全保护装置。当实际力矩接近过载时，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它会发出听视觉警报，并在过载之前自动停止危险动作。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具有超载记忆功能（黑匣子）和故障自诊断功能。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可不断显示的功能：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left="2520" w:hangingChars="1050" w:hanging="252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力矩百分比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left="2520" w:hangingChars="1050" w:hanging="2520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实际起重量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额定起重量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幅度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吊臂长度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角度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最大起升高度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工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况</w:t>
            </w: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代码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倍率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信息代码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ind w:left="3600" w:hangingChars="1500" w:hanging="3600"/>
        <w:rPr>
          <w:rFonts w:ascii="宋体" w:eastAsia="宋体" w:hAnsi="宋体"/>
          <w:kern w:val="2"/>
          <w:sz w:val="24"/>
          <w:szCs w:val="24"/>
          <w:lang w:eastAsia="zh-CN"/>
        </w:rPr>
      </w:pPr>
    </w:p>
    <w:tbl>
      <w:tblPr>
        <w:tblW w:w="15336" w:type="dxa"/>
        <w:tblLook w:val="04A0"/>
      </w:tblPr>
      <w:tblGrid>
        <w:gridCol w:w="2660"/>
        <w:gridCol w:w="6338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</w:rPr>
              <w:t>支腿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ind w:left="2640" w:hangingChars="1100" w:hanging="2640"/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</w:rPr>
              <w:t>4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支腿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，</w:t>
            </w:r>
            <w:r w:rsidRPr="00401D4E"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  <w:lang w:eastAsia="zh-CN"/>
              </w:rPr>
              <w:t>H形布置，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操作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杆控制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液压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动作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。可由底盘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left="2640" w:hangingChars="1100" w:hanging="2640"/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车任一侧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同时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或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单独控制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各支腿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的动作，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设有水平仪。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支腿油缸均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设有单向阀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，且垂直支腿带有双向液压锁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支腿跨距：</w:t>
            </w:r>
          </w:p>
          <w:p w:rsidR="0059030B" w:rsidRPr="00E97A04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纵向×横向</w:t>
            </w:r>
            <w:r w:rsidRPr="00401D4E"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</w:rPr>
              <w:t>(全伸)</w:t>
            </w:r>
            <w:r w:rsidRPr="00401D4E">
              <w:rPr>
                <w:rFonts w:ascii="宋体" w:eastAsia="宋体" w:hAnsi="宋体"/>
                <w:color w:val="000000" w:themeColor="text1"/>
                <w:lang w:eastAsia="zh-CN"/>
              </w:rPr>
              <w:t>…………</w:t>
            </w:r>
            <w:r w:rsidRPr="00401D4E"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  <w:lang w:eastAsia="zh-CN"/>
              </w:rPr>
              <w:t>5.1m</w:t>
            </w:r>
            <w:r w:rsidRPr="00401D4E">
              <w:rPr>
                <w:rFonts w:ascii="宋体" w:eastAsia="宋体" w:hAnsi="宋体" w:hint="eastAsia"/>
                <w:color w:val="000000" w:themeColor="text1"/>
                <w:kern w:val="2"/>
                <w:sz w:val="24"/>
                <w:szCs w:val="24"/>
              </w:rPr>
              <w:t>×</w:t>
            </w:r>
            <w:r w:rsidRPr="00401D4E">
              <w:rPr>
                <w:rFonts w:ascii="宋体" w:eastAsia="宋体" w:hAnsi="宋体"/>
                <w:color w:val="000000" w:themeColor="text1"/>
                <w:kern w:val="2"/>
                <w:sz w:val="24"/>
                <w:szCs w:val="24"/>
                <w:lang w:eastAsia="zh-CN"/>
              </w:rPr>
              <w:t>5.8m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</w:p>
        </w:tc>
      </w:tr>
      <w:tr w:rsidR="0059030B" w:rsidRPr="00401D4E" w:rsidTr="00051694">
        <w:trPr>
          <w:gridAfter w:val="1"/>
          <w:wAfter w:w="6338" w:type="dxa"/>
        </w:trPr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  <w:lang w:eastAsia="zh-CN"/>
              </w:rPr>
              <w:t>固定配重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总重</w:t>
            </w:r>
            <w:r w:rsidRPr="00401D4E"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  <w:t>2吨。</w:t>
            </w:r>
          </w:p>
        </w:tc>
      </w:tr>
    </w:tbl>
    <w:p w:rsidR="0059030B" w:rsidRPr="00401D4E" w:rsidRDefault="0059030B" w:rsidP="0059030B">
      <w:pPr>
        <w:spacing w:line="480" w:lineRule="exact"/>
        <w:ind w:firstLineChars="200" w:firstLine="480"/>
        <w:rPr>
          <w:rFonts w:ascii="宋体" w:eastAsia="宋体" w:hAnsi="宋体"/>
          <w:sz w:val="24"/>
          <w:lang w:eastAsia="zh-CN"/>
        </w:rPr>
      </w:pPr>
    </w:p>
    <w:tbl>
      <w:tblPr>
        <w:tblW w:w="8998" w:type="dxa"/>
        <w:tblLayout w:type="fixed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u w:val="single"/>
                <w:lang w:eastAsia="zh-CN"/>
              </w:rPr>
              <w:t>颜色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起重机底盘、轮沿：黑灰色。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驾驶室、起重机上车：工程黄色。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  <w:lang w:eastAsia="zh-CN"/>
              </w:rPr>
              <w:t>起重作业部分：主臂、转台工程黄。起重臂除基本臂外均为黑色。</w:t>
            </w:r>
          </w:p>
        </w:tc>
      </w:tr>
    </w:tbl>
    <w:p w:rsidR="0059030B" w:rsidRDefault="0059030B" w:rsidP="0059030B">
      <w:pPr>
        <w:autoSpaceDE/>
        <w:autoSpaceDN/>
        <w:spacing w:line="380" w:lineRule="exact"/>
        <w:rPr>
          <w:rFonts w:ascii="宋体" w:eastAsia="宋体" w:hAnsi="宋体"/>
          <w:kern w:val="2"/>
          <w:sz w:val="24"/>
          <w:szCs w:val="24"/>
          <w:lang w:eastAsia="zh-CN"/>
        </w:rPr>
      </w:pPr>
    </w:p>
    <w:p w:rsidR="0059030B" w:rsidRPr="00401D4E" w:rsidRDefault="0059030B" w:rsidP="0059030B">
      <w:pPr>
        <w:spacing w:line="360" w:lineRule="auto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  <w:r w:rsidRPr="00401D4E">
        <w:rPr>
          <w:rFonts w:ascii="黑体" w:eastAsia="黑体" w:hAnsi="黑体" w:hint="eastAsia"/>
          <w:b/>
          <w:bCs/>
          <w:sz w:val="40"/>
          <w:lang w:eastAsia="zh-CN"/>
        </w:rPr>
        <w:t>下车部分技术规格</w:t>
      </w: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型号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spacing w:line="48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左驾驶方向盘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驱动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/转向形式6×4×2，其中2、3桥驱动，1桥转向。</w:t>
            </w:r>
          </w:p>
        </w:tc>
      </w:tr>
    </w:tbl>
    <w:p w:rsidR="0059030B" w:rsidRPr="00401D4E" w:rsidRDefault="0059030B" w:rsidP="0059030B">
      <w:pPr>
        <w:spacing w:line="480" w:lineRule="exact"/>
        <w:rPr>
          <w:rFonts w:ascii="宋体" w:eastAsia="宋体" w:hAnsi="宋体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660"/>
        <w:gridCol w:w="6338"/>
      </w:tblGrid>
      <w:tr w:rsidR="0059030B" w:rsidRPr="00401D4E" w:rsidTr="00051694">
        <w:tc>
          <w:tcPr>
            <w:tcW w:w="266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kern w:val="2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车架</w:t>
            </w:r>
          </w:p>
        </w:tc>
        <w:tc>
          <w:tcPr>
            <w:tcW w:w="6338" w:type="dxa"/>
          </w:tcPr>
          <w:p w:rsidR="0059030B" w:rsidRPr="00401D4E" w:rsidRDefault="0059030B" w:rsidP="00051694">
            <w:pPr>
              <w:spacing w:line="48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自行设计并制造，全覆盖式走台板，受力结构优化设计，防扭转箱型结构，选用高强度钢材制造；支腿收缩在特制箱体中，箱体位于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1桥和2桥之间以及车架后端。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sz w:val="24"/>
          <w:szCs w:val="24"/>
          <w:lang w:eastAsia="zh-CN"/>
        </w:rPr>
      </w:pPr>
      <w:r w:rsidRPr="00401D4E">
        <w:rPr>
          <w:rFonts w:ascii="宋体" w:eastAsia="宋体" w:hAnsi="宋体" w:hint="eastAsia"/>
          <w:sz w:val="24"/>
          <w:szCs w:val="24"/>
          <w:u w:val="single"/>
        </w:rPr>
        <w:t>发动机</w:t>
      </w:r>
    </w:p>
    <w:tbl>
      <w:tblPr>
        <w:tblpPr w:leftFromText="180" w:rightFromText="180" w:vertAnchor="text" w:horzAnchor="margin" w:tblpXSpec="center" w:tblpY="645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936"/>
        <w:gridCol w:w="5062"/>
      </w:tblGrid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型号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0B" w:rsidRPr="00401D4E" w:rsidRDefault="004C5C9D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或相当于</w:t>
            </w:r>
            <w:r w:rsidR="0059030B" w:rsidRPr="00100F03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SC7H245Q5</w:t>
            </w:r>
          </w:p>
        </w:tc>
      </w:tr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0B" w:rsidRPr="00401D4E" w:rsidRDefault="0059030B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100F03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直列、六缸、增压、中冷</w:t>
            </w:r>
          </w:p>
        </w:tc>
      </w:tr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制造厂商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0B" w:rsidRPr="00401D4E" w:rsidRDefault="0059030B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额定功率</w:t>
            </w:r>
            <w:r w:rsidRPr="00401D4E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/转速（kw/rpm）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F03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180/2300</w:t>
            </w:r>
          </w:p>
        </w:tc>
      </w:tr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401D4E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最大扭矩</w:t>
            </w:r>
            <w:r w:rsidRPr="00401D4E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/转速（N.m/rpm）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0B" w:rsidRPr="00401D4E" w:rsidRDefault="0059030B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F03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960/1200～1600</w:t>
            </w:r>
          </w:p>
        </w:tc>
      </w:tr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401D4E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排量</w:t>
            </w:r>
            <w:r w:rsidRPr="00401D4E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/ml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0B" w:rsidRPr="00401D4E" w:rsidRDefault="0059030B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F03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6440</w:t>
            </w:r>
          </w:p>
        </w:tc>
      </w:tr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401D4E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燃油消耗率</w:t>
            </w:r>
            <w:r w:rsidRPr="00401D4E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/g/kw.h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0B" w:rsidRPr="00401D4E" w:rsidRDefault="0059030B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F03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193.3</w:t>
            </w:r>
          </w:p>
        </w:tc>
      </w:tr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401D4E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燃油箱容积</w:t>
            </w:r>
            <w:r w:rsidRPr="00401D4E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/L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0B" w:rsidRPr="00401D4E" w:rsidRDefault="0059030B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eastAsia="zh-CN"/>
              </w:rPr>
            </w:pPr>
            <w:r w:rsidRPr="00100F03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lang w:eastAsia="zh-CN"/>
              </w:rPr>
              <w:t>约</w:t>
            </w:r>
            <w:r w:rsidRPr="00100F03">
              <w:rPr>
                <w:rFonts w:ascii="宋体" w:eastAsia="宋体" w:hAnsi="宋体" w:cs="宋体"/>
                <w:color w:val="000000" w:themeColor="text1"/>
                <w:sz w:val="24"/>
                <w:szCs w:val="24"/>
                <w:lang w:eastAsia="zh-CN"/>
              </w:rPr>
              <w:t>260L</w:t>
            </w:r>
          </w:p>
        </w:tc>
      </w:tr>
      <w:tr w:rsidR="0059030B" w:rsidRPr="00401D4E" w:rsidTr="00051694">
        <w:trPr>
          <w:cantSplit/>
          <w:trHeight w:val="20"/>
          <w:jc w:val="center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401D4E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排放标准</w:t>
            </w:r>
          </w:p>
        </w:tc>
        <w:tc>
          <w:tcPr>
            <w:tcW w:w="28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030B" w:rsidRPr="00401D4E" w:rsidRDefault="0059030B" w:rsidP="00051694">
            <w:pPr>
              <w:tabs>
                <w:tab w:val="center" w:pos="4153"/>
                <w:tab w:val="right" w:pos="8306"/>
              </w:tabs>
              <w:autoSpaceDE/>
              <w:autoSpaceDN/>
              <w:snapToGrid w:val="0"/>
              <w:spacing w:line="38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100F03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国Ⅴ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</w:p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802"/>
        <w:gridCol w:w="6196"/>
      </w:tblGrid>
      <w:tr w:rsidR="0059030B" w:rsidRPr="00401D4E" w:rsidTr="00051694">
        <w:tc>
          <w:tcPr>
            <w:tcW w:w="2802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u w:val="single"/>
                <w:lang w:eastAsia="zh-CN"/>
              </w:rPr>
              <w:t>下车液压系统</w:t>
            </w:r>
          </w:p>
        </w:tc>
        <w:tc>
          <w:tcPr>
            <w:tcW w:w="6196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液压阀组元件集成化设计，结构简单，减少故障点，提升液压系统工作效率。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齿轮泵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通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过传动轴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联接至变速箱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右取力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，控制液压支腿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动作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59030B" w:rsidRPr="00401D4E" w:rsidRDefault="0059030B" w:rsidP="0059030B">
      <w:pPr>
        <w:autoSpaceDE/>
        <w:autoSpaceDN/>
        <w:adjustRightInd/>
        <w:spacing w:line="400" w:lineRule="exact"/>
        <w:jc w:val="both"/>
        <w:rPr>
          <w:rFonts w:ascii="宋体" w:eastAsia="宋体" w:hAnsi="宋体"/>
          <w:sz w:val="24"/>
          <w:szCs w:val="24"/>
          <w:u w:val="single"/>
          <w:lang w:eastAsia="zh-CN"/>
        </w:rPr>
      </w:pPr>
    </w:p>
    <w:tbl>
      <w:tblPr>
        <w:tblW w:w="0" w:type="auto"/>
        <w:tblLook w:val="04A0"/>
      </w:tblPr>
      <w:tblGrid>
        <w:gridCol w:w="2518"/>
        <w:gridCol w:w="6480"/>
      </w:tblGrid>
      <w:tr w:rsidR="0059030B" w:rsidRPr="00401D4E" w:rsidTr="00051694">
        <w:tc>
          <w:tcPr>
            <w:tcW w:w="251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u w:val="single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变速箱</w:t>
            </w:r>
          </w:p>
        </w:tc>
        <w:tc>
          <w:tcPr>
            <w:tcW w:w="6480" w:type="dxa"/>
          </w:tcPr>
          <w:p w:rsidR="0059030B" w:rsidRPr="00401D4E" w:rsidRDefault="0059030B" w:rsidP="00051694">
            <w:pPr>
              <w:spacing w:line="48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陕齿机械全同步器变速箱，匹配变速箱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8个前进挡，两个倒档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2518"/>
        <w:gridCol w:w="6480"/>
      </w:tblGrid>
      <w:tr w:rsidR="0059030B" w:rsidRPr="00401D4E" w:rsidTr="00051694">
        <w:tc>
          <w:tcPr>
            <w:tcW w:w="251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u w:val="single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离合器</w:t>
            </w:r>
          </w:p>
        </w:tc>
        <w:tc>
          <w:tcPr>
            <w:tcW w:w="6480" w:type="dxa"/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膜片、单片、干式离合器。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480"/>
      </w:tblGrid>
      <w:tr w:rsidR="0059030B" w:rsidRPr="00401D4E" w:rsidTr="0005169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u w:val="single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车桥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ind w:left="2640" w:hangingChars="1100" w:hanging="2640"/>
              <w:jc w:val="both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401D4E">
              <w:rPr>
                <w:rFonts w:asciiTheme="minorEastAsia" w:eastAsiaTheme="minorEastAsia" w:hAnsiTheme="minorEastAsia"/>
                <w:kern w:val="2"/>
                <w:sz w:val="24"/>
                <w:szCs w:val="24"/>
                <w:lang w:eastAsia="zh-CN"/>
              </w:rPr>
              <w:t>3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桥底盘，</w:t>
            </w:r>
            <w:r w:rsidRPr="00401D4E">
              <w:rPr>
                <w:rFonts w:asciiTheme="minorEastAsia" w:eastAsiaTheme="minorEastAsia" w:hAnsiTheme="minorEastAsia"/>
                <w:kern w:val="2"/>
                <w:sz w:val="24"/>
                <w:szCs w:val="24"/>
                <w:lang w:eastAsia="zh-CN"/>
              </w:rPr>
              <w:t>2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、</w:t>
            </w:r>
            <w:r w:rsidRPr="00401D4E">
              <w:rPr>
                <w:rFonts w:asciiTheme="minorEastAsia" w:eastAsiaTheme="minorEastAsia" w:hAnsiTheme="minorEastAsia"/>
                <w:kern w:val="2"/>
                <w:sz w:val="24"/>
                <w:szCs w:val="24"/>
                <w:lang w:eastAsia="zh-CN"/>
              </w:rPr>
              <w:t>3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桥驱动，</w:t>
            </w:r>
            <w:r w:rsidRPr="00401D4E"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  <w:t>1桥转向，</w:t>
            </w:r>
            <w:r w:rsidRPr="00401D4E">
              <w:rPr>
                <w:rFonts w:asciiTheme="minorEastAsia" w:eastAsiaTheme="minorEastAsia" w:hAnsiTheme="minorEastAsia" w:hint="eastAsia"/>
                <w:sz w:val="24"/>
              </w:rPr>
              <w:t>高强度承载桥，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left="2640" w:hangingChars="1100" w:hanging="264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01D4E">
              <w:rPr>
                <w:rFonts w:asciiTheme="minorEastAsia" w:eastAsiaTheme="minorEastAsia" w:hAnsiTheme="minorEastAsia" w:hint="eastAsia"/>
                <w:sz w:val="24"/>
              </w:rPr>
              <w:t>引进国外先进技术设计，名牌厂家制造，性能可靠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left="2640" w:hangingChars="1100" w:hanging="264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第一桥：单胎，转向不驱动；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ind w:left="2640" w:hangingChars="1100" w:hanging="264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第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  <w:lang w:eastAsia="zh-CN"/>
              </w:rPr>
              <w:t>二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桥：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  <w:lang w:eastAsia="zh-CN"/>
              </w:rPr>
              <w:t>双胎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，驱动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  <w:lang w:eastAsia="zh-CN"/>
              </w:rPr>
              <w:t>不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转向；</w:t>
            </w:r>
          </w:p>
          <w:p w:rsidR="0059030B" w:rsidRPr="00401D4E" w:rsidRDefault="0059030B" w:rsidP="00051694">
            <w:pPr>
              <w:spacing w:line="48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第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  <w:lang w:eastAsia="zh-CN"/>
              </w:rPr>
              <w:t>三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桥：双胎，驱动不转向</w:t>
            </w:r>
            <w:r w:rsidRPr="00401D4E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:rsidR="0059030B" w:rsidRPr="00401D4E" w:rsidTr="0005169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u w:val="single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转向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59030B" w:rsidRPr="00401D4E" w:rsidRDefault="0059030B" w:rsidP="00051694">
            <w:pPr>
              <w:widowControl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机械式转向机构，带有液压助力。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480"/>
      </w:tblGrid>
      <w:tr w:rsidR="0059030B" w:rsidRPr="00401D4E" w:rsidTr="0005169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u w:val="single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悬挂系统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59030B" w:rsidRPr="00401D4E" w:rsidRDefault="0059030B" w:rsidP="00051694">
            <w:pPr>
              <w:spacing w:line="480" w:lineRule="exact"/>
              <w:jc w:val="bot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前悬架采用少片变截面钢板弹簧，自重轻，噪音低，舒适性好；后悬架采用橡胶悬架，</w:t>
            </w:r>
            <w:r w:rsidRPr="00401D4E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V</w:t>
            </w:r>
            <w:r w:rsidRPr="00401D4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型推力杆，自重轻，定位效果好，免维护，维修方便。</w:t>
            </w:r>
          </w:p>
        </w:tc>
      </w:tr>
      <w:tr w:rsidR="0059030B" w:rsidRPr="00401D4E" w:rsidTr="000516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sz w:val="24"/>
                <w:szCs w:val="24"/>
                <w:u w:val="single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u w:val="single"/>
              </w:rPr>
              <w:t>制动系统</w:t>
            </w:r>
          </w:p>
        </w:tc>
        <w:tc>
          <w:tcPr>
            <w:tcW w:w="6480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双回路、气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压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制动、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鼓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式制动器。</w:t>
            </w:r>
          </w:p>
          <w:p w:rsidR="0059030B" w:rsidRPr="00401D4E" w:rsidRDefault="0059030B" w:rsidP="00051694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行车制动：双回路气压制动，作用于所有车轮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。</w:t>
            </w:r>
          </w:p>
          <w:p w:rsidR="0059030B" w:rsidRPr="00401D4E" w:rsidRDefault="0059030B" w:rsidP="00051694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驻车制动：弹簧贮能制动，作用于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2-3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轴车轮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辅助制动：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发动机排气制动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，安全可靠，延长制动摩擦片使用寿命。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480"/>
      </w:tblGrid>
      <w:tr w:rsidR="0059030B" w:rsidRPr="00401D4E" w:rsidTr="00051694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sz w:val="24"/>
                <w:szCs w:val="24"/>
                <w:u w:val="single"/>
                <w:lang w:eastAsia="zh-CN"/>
              </w:rPr>
            </w:pPr>
            <w:bookmarkStart w:id="1" w:name="_Hlk359330606"/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u w:val="single"/>
              </w:rPr>
              <w:t>电力系统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59030B" w:rsidRPr="00401D4E" w:rsidRDefault="0059030B" w:rsidP="00051694">
            <w:pPr>
              <w:spacing w:line="240" w:lineRule="auto"/>
              <w:ind w:left="200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4V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直流电源，负极搭铁，串联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12V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的蓄电池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个，底盘照明系统按中国道路交通标准，包括可调节前大灯，前后雾灯，倒车灯等；发电机输出电压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28.5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±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0.3V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，输出电流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70A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。</w:t>
            </w:r>
          </w:p>
          <w:p w:rsidR="0059030B" w:rsidRPr="00401D4E" w:rsidRDefault="0059030B" w:rsidP="00051694">
            <w:pPr>
              <w:spacing w:line="240" w:lineRule="auto"/>
              <w:ind w:left="200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bookmarkEnd w:id="1"/>
      <w:tr w:rsidR="0059030B" w:rsidRPr="00401D4E" w:rsidTr="000516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color w:val="000000" w:themeColor="text1"/>
                <w:sz w:val="24"/>
                <w:szCs w:val="24"/>
                <w:u w:val="single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u w:val="single"/>
              </w:rPr>
              <w:t>驾驶室</w:t>
            </w:r>
          </w:p>
        </w:tc>
        <w:tc>
          <w:tcPr>
            <w:tcW w:w="6480" w:type="dxa"/>
          </w:tcPr>
          <w:p w:rsidR="0059030B" w:rsidRPr="00401D4E" w:rsidRDefault="0059030B" w:rsidP="00051694">
            <w:pPr>
              <w:snapToGrid w:val="0"/>
              <w:spacing w:line="48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新型全头钢结构驾驶室，采用四点式连接结构，两侧外开式车门。主驾可手动调节高度；副驾采用双座椅，可展开为简易卧铺，便于驾驶员临时休息。安全玻璃配备电动升降器，隔热效果良好；后视镜可电动调节，安全方便；方向盘可调节高度及角度，适合各个高度的操作人群。总线控制显示器，信息集中显示。新型中控台布局安全合理，体现人性化的设计。标配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CD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音响、冷暖空调。</w:t>
            </w:r>
          </w:p>
        </w:tc>
      </w:tr>
    </w:tbl>
    <w:p w:rsidR="0059030B" w:rsidRPr="00401D4E" w:rsidRDefault="0059030B" w:rsidP="0059030B">
      <w:pPr>
        <w:autoSpaceDE/>
        <w:autoSpaceDN/>
        <w:spacing w:line="380" w:lineRule="exact"/>
        <w:rPr>
          <w:rFonts w:ascii="宋体" w:eastAsia="宋体" w:hAnsi="宋体"/>
          <w:sz w:val="24"/>
          <w:szCs w:val="24"/>
          <w:u w:val="single"/>
          <w:lang w:eastAsia="zh-CN"/>
        </w:rPr>
      </w:pPr>
    </w:p>
    <w:tbl>
      <w:tblPr>
        <w:tblW w:w="0" w:type="auto"/>
        <w:tblLook w:val="04A0"/>
      </w:tblPr>
      <w:tblGrid>
        <w:gridCol w:w="2518"/>
        <w:gridCol w:w="284"/>
        <w:gridCol w:w="6196"/>
      </w:tblGrid>
      <w:tr w:rsidR="0059030B" w:rsidRPr="00401D4E" w:rsidTr="00051694">
        <w:tc>
          <w:tcPr>
            <w:tcW w:w="2518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u w:val="single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轮胎</w:t>
            </w:r>
          </w:p>
        </w:tc>
        <w:tc>
          <w:tcPr>
            <w:tcW w:w="6480" w:type="dxa"/>
            <w:gridSpan w:val="2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11.00-20，适用于重型载重车辆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通用性强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</w:tr>
      <w:tr w:rsidR="0059030B" w:rsidRPr="00401D4E" w:rsidTr="00051694">
        <w:tc>
          <w:tcPr>
            <w:tcW w:w="2802" w:type="dxa"/>
            <w:gridSpan w:val="2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u w:val="single"/>
              </w:rPr>
              <w:t>工具</w:t>
            </w:r>
          </w:p>
        </w:tc>
        <w:tc>
          <w:tcPr>
            <w:tcW w:w="6196" w:type="dxa"/>
          </w:tcPr>
          <w:p w:rsidR="0059030B" w:rsidRPr="00401D4E" w:rsidRDefault="0059030B" w:rsidP="00051694">
            <w:pPr>
              <w:autoSpaceDE/>
              <w:autoSpaceDN/>
              <w:spacing w:line="380" w:lineRule="exact"/>
              <w:rPr>
                <w:rFonts w:ascii="宋体" w:eastAsia="宋体" w:hAnsi="宋体"/>
                <w:kern w:val="2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kern w:val="2"/>
                <w:sz w:val="24"/>
                <w:szCs w:val="24"/>
              </w:rPr>
              <w:t>随车配置一套维修工具。</w:t>
            </w:r>
          </w:p>
        </w:tc>
      </w:tr>
    </w:tbl>
    <w:p w:rsidR="0059030B" w:rsidRPr="00401D4E" w:rsidRDefault="0059030B" w:rsidP="0059030B">
      <w:pPr>
        <w:spacing w:line="360" w:lineRule="auto"/>
        <w:jc w:val="center"/>
        <w:outlineLvl w:val="0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 w:rsidRPr="00401D4E">
        <w:rPr>
          <w:rFonts w:ascii="黑体" w:eastAsia="黑体" w:hAnsi="宋体"/>
          <w:b/>
          <w:bCs/>
          <w:sz w:val="40"/>
          <w:lang w:eastAsia="zh-CN"/>
        </w:rPr>
        <w:br w:type="page"/>
      </w:r>
    </w:p>
    <w:p w:rsidR="0059030B" w:rsidRPr="00401D4E" w:rsidRDefault="0059030B" w:rsidP="0059030B">
      <w:pPr>
        <w:spacing w:line="360" w:lineRule="auto"/>
        <w:jc w:val="center"/>
        <w:outlineLvl w:val="0"/>
        <w:rPr>
          <w:rFonts w:ascii="黑体" w:eastAsia="黑体" w:hAnsi="黑体"/>
          <w:b/>
          <w:bCs/>
          <w:sz w:val="40"/>
          <w:lang w:eastAsia="zh-CN"/>
        </w:rPr>
      </w:pPr>
      <w:r w:rsidRPr="00401D4E">
        <w:rPr>
          <w:rFonts w:ascii="黑体" w:eastAsia="黑体" w:hAnsi="黑体" w:hint="eastAsia"/>
          <w:b/>
          <w:bCs/>
          <w:sz w:val="40"/>
          <w:lang w:eastAsia="zh-CN"/>
        </w:rPr>
        <w:lastRenderedPageBreak/>
        <w:t>主要技术参数表</w:t>
      </w:r>
    </w:p>
    <w:p w:rsidR="0059030B" w:rsidRPr="00401D4E" w:rsidRDefault="0059030B" w:rsidP="0059030B">
      <w:pPr>
        <w:spacing w:line="480" w:lineRule="exact"/>
        <w:jc w:val="center"/>
        <w:outlineLvl w:val="1"/>
        <w:rPr>
          <w:rFonts w:ascii="黑体" w:eastAsia="黑体"/>
          <w:b/>
          <w:sz w:val="24"/>
          <w:lang w:eastAsia="zh-CN"/>
        </w:rPr>
      </w:pPr>
      <w:r w:rsidRPr="00401D4E">
        <w:rPr>
          <w:rFonts w:ascii="黑体" w:eastAsia="黑体" w:hAnsi="黑体" w:hint="eastAsia"/>
          <w:b/>
          <w:sz w:val="24"/>
        </w:rPr>
        <w:t>行驶状态主要技术参数表</w:t>
      </w:r>
    </w:p>
    <w:p w:rsidR="0059030B" w:rsidRPr="00401D4E" w:rsidRDefault="0059030B" w:rsidP="0059030B">
      <w:pPr>
        <w:spacing w:line="480" w:lineRule="exact"/>
        <w:jc w:val="right"/>
        <w:rPr>
          <w:rFonts w:ascii="黑体" w:eastAsia="黑体"/>
          <w:sz w:val="24"/>
          <w:lang w:eastAsia="zh-CN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57"/>
        <w:gridCol w:w="1265"/>
        <w:gridCol w:w="1803"/>
        <w:gridCol w:w="1537"/>
        <w:gridCol w:w="3936"/>
      </w:tblGrid>
      <w:tr w:rsidR="0059030B" w:rsidRPr="00401D4E" w:rsidTr="00051694">
        <w:trPr>
          <w:cantSplit/>
          <w:trHeight w:val="435"/>
          <w:jc w:val="center"/>
        </w:trPr>
        <w:tc>
          <w:tcPr>
            <w:tcW w:w="254" w:type="pct"/>
            <w:tcBorders>
              <w:bottom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705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854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8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b/>
                <w:sz w:val="24"/>
                <w:szCs w:val="24"/>
              </w:rPr>
              <w:t>参数</w:t>
            </w:r>
          </w:p>
        </w:tc>
      </w:tr>
      <w:tr w:rsidR="0059030B" w:rsidRPr="00401D4E" w:rsidTr="00051694">
        <w:trPr>
          <w:cantSplit/>
          <w:trHeight w:val="240"/>
          <w:jc w:val="center"/>
        </w:trPr>
        <w:tc>
          <w:tcPr>
            <w:tcW w:w="254" w:type="pct"/>
            <w:vMerge w:val="restar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尺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寸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参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整机全长</w:t>
            </w:r>
          </w:p>
        </w:tc>
        <w:tc>
          <w:tcPr>
            <w:tcW w:w="854" w:type="pc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</w:pPr>
            <w:r w:rsidRPr="0059030B">
              <w:rPr>
                <w:rFonts w:ascii="宋体" w:eastAsia="宋体" w:hAnsi="宋体" w:hint="eastAsia"/>
                <w:spacing w:val="13"/>
                <w:sz w:val="24"/>
                <w:szCs w:val="24"/>
                <w:lang w:eastAsia="zh-CN"/>
              </w:rPr>
              <w:t>≤</w:t>
            </w:r>
            <w:r w:rsidRPr="00401D4E">
              <w:rPr>
                <w:rFonts w:ascii="宋体" w:eastAsia="宋体" w:hAnsi="宋体"/>
                <w:spacing w:val="13"/>
                <w:sz w:val="24"/>
                <w:szCs w:val="24"/>
                <w:lang w:eastAsia="zh-CN"/>
              </w:rPr>
              <w:t>11960</w:t>
            </w:r>
          </w:p>
        </w:tc>
      </w:tr>
      <w:tr w:rsidR="0059030B" w:rsidRPr="00401D4E" w:rsidTr="00051694">
        <w:trPr>
          <w:cantSplit/>
          <w:trHeight w:val="216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整机全宽</w:t>
            </w:r>
          </w:p>
        </w:tc>
        <w:tc>
          <w:tcPr>
            <w:tcW w:w="854" w:type="pc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</w:pPr>
            <w:r w:rsidRPr="0059030B">
              <w:rPr>
                <w:rFonts w:ascii="宋体" w:eastAsia="宋体" w:hAnsi="宋体" w:hint="eastAsia"/>
                <w:spacing w:val="13"/>
                <w:sz w:val="24"/>
                <w:szCs w:val="24"/>
                <w:lang w:eastAsia="zh-CN"/>
              </w:rPr>
              <w:t>≤</w:t>
            </w:r>
            <w:r w:rsidRPr="00401D4E">
              <w:rPr>
                <w:rFonts w:ascii="宋体" w:eastAsia="宋体" w:hAnsi="宋体"/>
                <w:spacing w:val="13"/>
                <w:sz w:val="24"/>
                <w:szCs w:val="24"/>
                <w:lang w:eastAsia="zh-CN"/>
              </w:rPr>
              <w:t>2500</w:t>
            </w:r>
          </w:p>
        </w:tc>
      </w:tr>
      <w:tr w:rsidR="0059030B" w:rsidRPr="00401D4E" w:rsidTr="00051694">
        <w:trPr>
          <w:cantSplit/>
          <w:trHeight w:val="348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整机全高</w:t>
            </w:r>
          </w:p>
        </w:tc>
        <w:tc>
          <w:tcPr>
            <w:tcW w:w="854" w:type="pc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jc w:val="center"/>
            </w:pPr>
            <w:r w:rsidRPr="0059030B">
              <w:rPr>
                <w:rFonts w:ascii="宋体" w:eastAsia="宋体" w:hAnsi="宋体" w:hint="eastAsia"/>
                <w:spacing w:val="13"/>
                <w:sz w:val="24"/>
                <w:szCs w:val="24"/>
                <w:lang w:eastAsia="zh-CN"/>
              </w:rPr>
              <w:t>≤</w:t>
            </w:r>
            <w:r w:rsidRPr="00401D4E">
              <w:rPr>
                <w:rFonts w:ascii="宋体" w:eastAsia="宋体" w:hAnsi="宋体"/>
                <w:spacing w:val="13"/>
                <w:sz w:val="24"/>
                <w:szCs w:val="24"/>
                <w:lang w:eastAsia="zh-CN"/>
              </w:rPr>
              <w:t>3330</w:t>
            </w:r>
          </w:p>
        </w:tc>
      </w:tr>
      <w:tr w:rsidR="0059030B" w:rsidRPr="00401D4E" w:rsidTr="00051694">
        <w:trPr>
          <w:cantSplit/>
          <w:trHeight w:val="310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轴距</w:t>
            </w:r>
          </w:p>
        </w:tc>
        <w:tc>
          <w:tcPr>
            <w:tcW w:w="854" w:type="pc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59030B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≤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4425+1350</w:t>
            </w:r>
          </w:p>
        </w:tc>
      </w:tr>
      <w:tr w:rsidR="0059030B" w:rsidRPr="00401D4E" w:rsidTr="00051694">
        <w:trPr>
          <w:cantSplit/>
          <w:trHeight w:val="242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轮距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（前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/后）</w:t>
            </w:r>
          </w:p>
        </w:tc>
        <w:tc>
          <w:tcPr>
            <w:tcW w:w="854" w:type="pc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pStyle w:val="a4"/>
              <w:jc w:val="center"/>
              <w:rPr>
                <w:rFonts w:cs="Arial"/>
                <w:w w:val="100"/>
                <w:kern w:val="0"/>
                <w:szCs w:val="24"/>
              </w:rPr>
            </w:pPr>
            <w:r w:rsidRPr="00401D4E">
              <w:rPr>
                <w:rFonts w:cs="Arial"/>
                <w:w w:val="100"/>
                <w:kern w:val="0"/>
                <w:szCs w:val="24"/>
              </w:rPr>
              <w:t>2027 /1834</w:t>
            </w:r>
          </w:p>
          <w:p w:rsidR="0059030B" w:rsidRPr="00401D4E" w:rsidRDefault="0059030B" w:rsidP="0059030B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2055/1834</w:t>
            </w:r>
          </w:p>
        </w:tc>
      </w:tr>
      <w:tr w:rsidR="0059030B" w:rsidRPr="00401D4E" w:rsidTr="00051694">
        <w:trPr>
          <w:cantSplit/>
          <w:trHeight w:val="360"/>
          <w:jc w:val="center"/>
        </w:trPr>
        <w:tc>
          <w:tcPr>
            <w:tcW w:w="254" w:type="pct"/>
            <w:vMerge w:val="restar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重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量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参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行驶状态整机自重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kg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59030B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≤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23300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轴荷</w:t>
            </w:r>
          </w:p>
        </w:tc>
        <w:tc>
          <w:tcPr>
            <w:tcW w:w="1002" w:type="pct"/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一轴</w:t>
            </w:r>
          </w:p>
        </w:tc>
        <w:tc>
          <w:tcPr>
            <w:tcW w:w="854" w:type="pc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kg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6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500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2" w:type="pct"/>
            <w:vAlign w:val="center"/>
          </w:tcPr>
          <w:p w:rsidR="0059030B" w:rsidRPr="00401D4E" w:rsidDel="00A14F82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二轴</w:t>
            </w:r>
          </w:p>
        </w:tc>
        <w:tc>
          <w:tcPr>
            <w:tcW w:w="854" w:type="pc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kg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8400</w:t>
            </w:r>
          </w:p>
        </w:tc>
      </w:tr>
      <w:tr w:rsidR="0059030B" w:rsidRPr="00401D4E" w:rsidTr="00051694">
        <w:trPr>
          <w:cantSplit/>
          <w:trHeight w:val="360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三轴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kg</w:t>
            </w:r>
          </w:p>
        </w:tc>
        <w:tc>
          <w:tcPr>
            <w:tcW w:w="21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8400</w:t>
            </w:r>
          </w:p>
        </w:tc>
      </w:tr>
      <w:tr w:rsidR="0059030B" w:rsidRPr="00401D4E" w:rsidTr="00051694">
        <w:trPr>
          <w:cantSplit/>
          <w:trHeight w:val="109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下车发动机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型号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30B" w:rsidRPr="00401D4E" w:rsidRDefault="004C5C9D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或相当于</w:t>
            </w:r>
            <w:r w:rsidR="0059030B" w:rsidRPr="00100F03">
              <w:rPr>
                <w:rFonts w:ascii="宋体" w:eastAsia="宋体" w:hAnsi="宋体"/>
                <w:sz w:val="24"/>
                <w:szCs w:val="24"/>
                <w:lang w:eastAsia="zh-CN"/>
              </w:rPr>
              <w:t>SC7H245Q5</w:t>
            </w:r>
          </w:p>
        </w:tc>
      </w:tr>
      <w:tr w:rsidR="0059030B" w:rsidRPr="00401D4E" w:rsidTr="00051694">
        <w:trPr>
          <w:cantSplit/>
          <w:trHeight w:val="109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额定功率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/转速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kw/(r/min)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00F03">
              <w:rPr>
                <w:rFonts w:ascii="宋体" w:eastAsia="宋体" w:hAnsi="宋体"/>
                <w:sz w:val="24"/>
                <w:szCs w:val="24"/>
                <w:lang w:eastAsia="zh-CN"/>
              </w:rPr>
              <w:t>180/2300</w:t>
            </w:r>
          </w:p>
        </w:tc>
      </w:tr>
      <w:tr w:rsidR="0059030B" w:rsidRPr="00401D4E" w:rsidTr="00051694">
        <w:trPr>
          <w:cantSplit/>
          <w:trHeight w:val="109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仿宋" w:hAnsi="仿宋"/>
                <w:sz w:val="24"/>
                <w:szCs w:val="24"/>
              </w:rPr>
              <w:t>最大净功率</w:t>
            </w:r>
            <w:r w:rsidRPr="00401D4E">
              <w:rPr>
                <w:rFonts w:ascii="仿宋" w:hAnsi="仿宋"/>
                <w:sz w:val="24"/>
                <w:szCs w:val="24"/>
              </w:rPr>
              <w:t>/</w:t>
            </w:r>
            <w:r w:rsidRPr="00401D4E">
              <w:rPr>
                <w:rFonts w:ascii="仿宋" w:hAnsi="仿宋"/>
                <w:sz w:val="24"/>
                <w:szCs w:val="24"/>
              </w:rPr>
              <w:t>转速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仿宋" w:hAnsi="仿宋"/>
                <w:sz w:val="24"/>
                <w:szCs w:val="24"/>
              </w:rPr>
              <w:t>kw/(r/min)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val="pt-PT" w:eastAsia="zh-CN"/>
              </w:rPr>
            </w:pPr>
            <w:r w:rsidRPr="00100F03">
              <w:rPr>
                <w:rFonts w:ascii="宋体" w:eastAsia="宋体" w:hAnsi="宋体"/>
                <w:sz w:val="24"/>
                <w:szCs w:val="24"/>
              </w:rPr>
              <w:t>176/2300</w:t>
            </w:r>
          </w:p>
        </w:tc>
      </w:tr>
      <w:tr w:rsidR="0059030B" w:rsidRPr="00401D4E" w:rsidTr="00051694">
        <w:trPr>
          <w:cantSplit/>
          <w:trHeight w:val="219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仿宋" w:hAnsi="仿宋"/>
                <w:sz w:val="24"/>
                <w:szCs w:val="24"/>
              </w:rPr>
              <w:t>最大输出扭矩</w:t>
            </w:r>
            <w:r w:rsidRPr="00401D4E">
              <w:rPr>
                <w:rFonts w:ascii="仿宋" w:hAnsi="仿宋"/>
                <w:sz w:val="24"/>
                <w:szCs w:val="24"/>
              </w:rPr>
              <w:t>/</w:t>
            </w:r>
            <w:r w:rsidRPr="00401D4E">
              <w:rPr>
                <w:rFonts w:ascii="仿宋" w:hAnsi="仿宋"/>
                <w:sz w:val="24"/>
                <w:szCs w:val="24"/>
              </w:rPr>
              <w:t>转速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N.m/(r/min)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00F03">
              <w:rPr>
                <w:rFonts w:ascii="宋体" w:eastAsia="宋体" w:hAnsi="宋体"/>
                <w:sz w:val="24"/>
                <w:szCs w:val="24"/>
                <w:lang w:val="pt-PT" w:eastAsia="zh-CN"/>
              </w:rPr>
              <w:t>960/1200</w:t>
            </w:r>
            <w:r w:rsidRPr="00100F03">
              <w:rPr>
                <w:rFonts w:ascii="宋体" w:eastAsia="宋体" w:hAnsi="宋体" w:hint="eastAsia"/>
                <w:sz w:val="24"/>
                <w:szCs w:val="24"/>
                <w:lang w:val="pt-PT" w:eastAsia="zh-CN"/>
              </w:rPr>
              <w:t>～</w:t>
            </w:r>
            <w:r w:rsidRPr="00100F03">
              <w:rPr>
                <w:rFonts w:ascii="宋体" w:eastAsia="宋体" w:hAnsi="宋体"/>
                <w:sz w:val="24"/>
                <w:szCs w:val="24"/>
                <w:lang w:val="pt-PT" w:eastAsia="zh-CN"/>
              </w:rPr>
              <w:t>1600</w:t>
            </w:r>
          </w:p>
        </w:tc>
      </w:tr>
      <w:tr w:rsidR="0059030B" w:rsidRPr="00401D4E" w:rsidTr="00051694">
        <w:trPr>
          <w:cantSplit/>
          <w:trHeight w:val="360"/>
          <w:jc w:val="center"/>
        </w:trPr>
        <w:tc>
          <w:tcPr>
            <w:tcW w:w="254" w:type="pct"/>
            <w:vMerge w:val="restar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行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驶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参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703" w:type="pct"/>
            <w:vMerge w:val="restar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行驶速度</w:t>
            </w:r>
          </w:p>
        </w:tc>
        <w:tc>
          <w:tcPr>
            <w:tcW w:w="1002" w:type="pc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车速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km/h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85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2" w:type="pc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最低稳定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车速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km/h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仿宋" w:eastAsiaTheme="minorEastAsia" w:hAnsi="仿宋"/>
                <w:sz w:val="24"/>
                <w:szCs w:val="24"/>
                <w:lang w:eastAsia="zh-CN"/>
              </w:rPr>
              <w:t>2</w:t>
            </w:r>
            <w:r w:rsidRPr="00401D4E">
              <w:rPr>
                <w:rFonts w:ascii="仿宋" w:hAnsi="仿宋" w:hint="eastAsia"/>
                <w:sz w:val="24"/>
                <w:szCs w:val="24"/>
              </w:rPr>
              <w:t>～</w:t>
            </w:r>
            <w:r w:rsidRPr="00401D4E">
              <w:rPr>
                <w:rFonts w:ascii="仿宋" w:hAnsi="仿宋"/>
                <w:sz w:val="24"/>
                <w:szCs w:val="24"/>
              </w:rPr>
              <w:t>3</w:t>
            </w:r>
          </w:p>
        </w:tc>
      </w:tr>
      <w:tr w:rsidR="0059030B" w:rsidRPr="00401D4E" w:rsidTr="00051694">
        <w:trPr>
          <w:cantSplit/>
          <w:trHeight w:val="360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最小转弯直径</w:t>
            </w:r>
          </w:p>
        </w:tc>
        <w:tc>
          <w:tcPr>
            <w:tcW w:w="854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21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20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最小离地间隙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</w:rPr>
              <w:t>2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61</w:t>
            </w:r>
          </w:p>
        </w:tc>
      </w:tr>
      <w:tr w:rsidR="0059030B" w:rsidRPr="00401D4E" w:rsidTr="00051694">
        <w:trPr>
          <w:cantSplit/>
          <w:trHeight w:val="360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接近角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°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19/12(带前防护)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离去角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°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9030B" w:rsidRPr="00401D4E" w:rsidTr="00051694">
        <w:trPr>
          <w:cantSplit/>
          <w:trHeight w:val="360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制动距离（</w:t>
            </w:r>
            <w:r w:rsidRPr="00401D4E">
              <w:rPr>
                <w:rFonts w:ascii="仿宋" w:hAnsi="仿宋"/>
                <w:sz w:val="24"/>
                <w:szCs w:val="24"/>
              </w:rPr>
              <w:t>制动初速度</w:t>
            </w:r>
            <w:r w:rsidRPr="00401D4E">
              <w:rPr>
                <w:rFonts w:ascii="宋体" w:eastAsia="宋体" w:hAnsi="宋体" w:hint="eastAsia"/>
                <w:sz w:val="24"/>
                <w:szCs w:val="24"/>
              </w:rPr>
              <w:t>为</w:t>
            </w:r>
            <w:smartTag w:uri="urn:schemas-microsoft-com:office:smarttags" w:element="chmetcnv">
              <w:smartTagPr>
                <w:attr w:name="UnitName" w:val="km/h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01D4E">
                <w:rPr>
                  <w:rFonts w:ascii="宋体" w:eastAsia="宋体" w:hAnsi="宋体"/>
                  <w:sz w:val="24"/>
                  <w:szCs w:val="24"/>
                </w:rPr>
                <w:t>30km/h</w:t>
              </w:r>
            </w:smartTag>
            <w:r w:rsidRPr="00401D4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≤</w:t>
            </w:r>
            <w:r w:rsidRPr="00401D4E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最大爬坡</w:t>
            </w: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能力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%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48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百公里油耗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(理论)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L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≤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28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Theme="minorEastAsia" w:hAnsiTheme="minorEastAsia"/>
                <w:sz w:val="24"/>
                <w:szCs w:val="24"/>
              </w:rPr>
              <w:t>加速行驶机外噪声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Theme="minorEastAsia" w:hAnsiTheme="minorEastAsia"/>
                <w:sz w:val="24"/>
                <w:szCs w:val="24"/>
              </w:rPr>
              <w:t>dB(A)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仿宋" w:hAnsi="仿宋"/>
                <w:sz w:val="24"/>
                <w:szCs w:val="24"/>
              </w:rPr>
              <w:t>84</w:t>
            </w:r>
          </w:p>
        </w:tc>
      </w:tr>
      <w:tr w:rsidR="0059030B" w:rsidRPr="00401D4E" w:rsidTr="00051694">
        <w:trPr>
          <w:cantSplit/>
          <w:trHeight w:val="361"/>
          <w:jc w:val="center"/>
        </w:trPr>
        <w:tc>
          <w:tcPr>
            <w:tcW w:w="254" w:type="pc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5" w:type="pct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Theme="minorEastAsia" w:hAnsiTheme="minorEastAsia"/>
                <w:sz w:val="24"/>
                <w:szCs w:val="24"/>
              </w:rPr>
              <w:t>驾驶员耳旁噪声</w:t>
            </w:r>
          </w:p>
        </w:tc>
        <w:tc>
          <w:tcPr>
            <w:tcW w:w="854" w:type="pct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Theme="minorEastAsia" w:hAnsiTheme="minorEastAsia"/>
                <w:sz w:val="24"/>
                <w:szCs w:val="24"/>
              </w:rPr>
              <w:t>dB(A)</w:t>
            </w:r>
          </w:p>
        </w:tc>
        <w:tc>
          <w:tcPr>
            <w:tcW w:w="2187" w:type="pct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仿宋" w:hAnsi="仿宋"/>
                <w:sz w:val="24"/>
                <w:szCs w:val="24"/>
              </w:rPr>
              <w:t>90</w:t>
            </w:r>
          </w:p>
        </w:tc>
      </w:tr>
    </w:tbl>
    <w:p w:rsidR="0059030B" w:rsidRPr="00401D4E" w:rsidRDefault="0059030B" w:rsidP="0059030B">
      <w:pPr>
        <w:spacing w:line="480" w:lineRule="exact"/>
        <w:jc w:val="center"/>
        <w:outlineLvl w:val="1"/>
        <w:rPr>
          <w:rFonts w:ascii="黑体" w:eastAsia="黑体" w:hAnsi="黑体"/>
          <w:b/>
          <w:sz w:val="24"/>
          <w:lang w:eastAsia="zh-CN"/>
        </w:rPr>
      </w:pPr>
    </w:p>
    <w:p w:rsidR="0059030B" w:rsidRDefault="0059030B" w:rsidP="0059030B">
      <w:pPr>
        <w:spacing w:line="480" w:lineRule="exact"/>
        <w:jc w:val="center"/>
        <w:outlineLvl w:val="1"/>
        <w:rPr>
          <w:rFonts w:ascii="黑体" w:eastAsia="黑体" w:hAnsi="黑体"/>
          <w:b/>
          <w:sz w:val="24"/>
        </w:rPr>
        <w:sectPr w:rsidR="0059030B" w:rsidSect="00910BD3">
          <w:footerReference w:type="default" r:id="rId6"/>
          <w:pgSz w:w="11901" w:h="16834"/>
          <w:pgMar w:top="1418" w:right="1418" w:bottom="1418" w:left="1701" w:header="720" w:footer="720" w:gutter="0"/>
          <w:paperSrc w:first="1" w:other="1"/>
          <w:cols w:space="720"/>
          <w:docGrid w:linePitch="354"/>
        </w:sectPr>
      </w:pPr>
    </w:p>
    <w:p w:rsidR="0059030B" w:rsidRPr="00401D4E" w:rsidRDefault="0059030B" w:rsidP="0059030B">
      <w:pPr>
        <w:spacing w:line="480" w:lineRule="exact"/>
        <w:jc w:val="center"/>
        <w:outlineLvl w:val="1"/>
        <w:rPr>
          <w:rFonts w:ascii="黑体" w:eastAsia="黑体" w:hAnsi="黑体"/>
          <w:b/>
          <w:sz w:val="24"/>
        </w:rPr>
      </w:pPr>
      <w:r w:rsidRPr="00401D4E">
        <w:rPr>
          <w:rFonts w:ascii="黑体" w:eastAsia="黑体" w:hAnsi="黑体" w:hint="eastAsia"/>
          <w:b/>
          <w:sz w:val="24"/>
        </w:rPr>
        <w:lastRenderedPageBreak/>
        <w:t>起重机作业状态主要技术参数表</w:t>
      </w:r>
    </w:p>
    <w:p w:rsidR="0059030B" w:rsidRPr="00401D4E" w:rsidRDefault="0059030B" w:rsidP="0059030B">
      <w:pPr>
        <w:spacing w:line="480" w:lineRule="exact"/>
        <w:jc w:val="right"/>
        <w:rPr>
          <w:rFonts w:ascii="黑体" w:eastAsia="黑体"/>
          <w:b/>
          <w:sz w:val="24"/>
          <w:lang w:eastAsia="zh-CN"/>
        </w:rPr>
      </w:pPr>
    </w:p>
    <w:tbl>
      <w:tblPr>
        <w:tblW w:w="88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8"/>
        <w:gridCol w:w="2205"/>
        <w:gridCol w:w="26"/>
        <w:gridCol w:w="1675"/>
        <w:gridCol w:w="1160"/>
        <w:gridCol w:w="1134"/>
        <w:gridCol w:w="1936"/>
      </w:tblGrid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参数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 w:val="restar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性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能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参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最大额定总起重量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t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最小额定幅度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转台尾部回转半经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平衡重处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193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3180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ind w:left="113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副卷处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—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最大起重力矩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基本臂</w:t>
            </w:r>
          </w:p>
        </w:tc>
        <w:tc>
          <w:tcPr>
            <w:tcW w:w="1134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kN.m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730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最长主臂</w:t>
            </w:r>
          </w:p>
        </w:tc>
        <w:tc>
          <w:tcPr>
            <w:tcW w:w="1134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kN.m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475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最长主臂</w:t>
            </w:r>
            <w:r w:rsidRPr="00401D4E">
              <w:rPr>
                <w:rFonts w:ascii="宋体" w:eastAsia="宋体" w:hAnsi="宋体"/>
                <w:sz w:val="24"/>
                <w:szCs w:val="24"/>
              </w:rPr>
              <w:t>+副臂</w:t>
            </w:r>
          </w:p>
        </w:tc>
        <w:tc>
          <w:tcPr>
            <w:tcW w:w="1134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kN.m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163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支腿跨距</w:t>
            </w:r>
          </w:p>
        </w:tc>
        <w:tc>
          <w:tcPr>
            <w:tcW w:w="2835" w:type="dxa"/>
            <w:gridSpan w:val="2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纵向</w:t>
            </w:r>
          </w:p>
        </w:tc>
        <w:tc>
          <w:tcPr>
            <w:tcW w:w="1134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5.1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横向</w:t>
            </w:r>
          </w:p>
        </w:tc>
        <w:tc>
          <w:tcPr>
            <w:tcW w:w="1134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5.8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起升高度</w:t>
            </w:r>
          </w:p>
        </w:tc>
        <w:tc>
          <w:tcPr>
            <w:tcW w:w="2835" w:type="dxa"/>
            <w:gridSpan w:val="2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基本臂</w:t>
            </w:r>
          </w:p>
        </w:tc>
        <w:tc>
          <w:tcPr>
            <w:tcW w:w="1134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10.5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最长主臂</w:t>
            </w:r>
          </w:p>
        </w:tc>
        <w:tc>
          <w:tcPr>
            <w:tcW w:w="1134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32.5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最长（主臂</w:t>
            </w:r>
            <w:r w:rsidRPr="00401D4E">
              <w:rPr>
                <w:rFonts w:ascii="宋体" w:eastAsia="宋体" w:hAnsi="宋体"/>
                <w:sz w:val="24"/>
                <w:szCs w:val="24"/>
              </w:rPr>
              <w:t>+副臂）</w:t>
            </w:r>
          </w:p>
        </w:tc>
        <w:tc>
          <w:tcPr>
            <w:tcW w:w="1134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sz w:val="24"/>
                <w:szCs w:val="24"/>
              </w:rPr>
              <w:t>m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sz w:val="24"/>
                <w:szCs w:val="24"/>
                <w:lang w:eastAsia="zh-CN"/>
              </w:rPr>
              <w:t>40.6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起重臂长度</w:t>
            </w:r>
          </w:p>
        </w:tc>
        <w:tc>
          <w:tcPr>
            <w:tcW w:w="2835" w:type="dxa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基本臂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最长主臂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32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最长（主臂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+副臂）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40.15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副臂安装角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°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>、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15、30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 w:val="restart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工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作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速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度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参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起重臂起臂时间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≤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35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起重臂全伸时间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≤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50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最大回转速度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A71A0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（r/min）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vMerge w:val="restar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支腿收放时间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水平支腿</w:t>
            </w:r>
          </w:p>
        </w:tc>
        <w:tc>
          <w:tcPr>
            <w:tcW w:w="1160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收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≤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放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≤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25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垂直支腿</w:t>
            </w:r>
          </w:p>
        </w:tc>
        <w:tc>
          <w:tcPr>
            <w:tcW w:w="1160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收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≤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放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≤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25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vMerge w:val="restart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起升速度（单绳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,第四层）</w:t>
            </w: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主起升机构</w:t>
            </w:r>
          </w:p>
        </w:tc>
        <w:tc>
          <w:tcPr>
            <w:tcW w:w="1160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空载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m/min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130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keepNext/>
              <w:keepLines/>
              <w:snapToGrid w:val="0"/>
              <w:spacing w:before="340" w:after="33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副起升机构</w:t>
            </w:r>
          </w:p>
        </w:tc>
        <w:tc>
          <w:tcPr>
            <w:tcW w:w="1160" w:type="dxa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空载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m/min</w:t>
            </w:r>
          </w:p>
        </w:tc>
        <w:tc>
          <w:tcPr>
            <w:tcW w:w="1936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≥</w:t>
            </w: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130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作业</w:t>
            </w:r>
          </w:p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sz w:val="24"/>
                <w:szCs w:val="24"/>
              </w:rPr>
              <w:t>噪声</w:t>
            </w: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机外辐射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dB（A）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120</w:t>
            </w:r>
          </w:p>
        </w:tc>
      </w:tr>
      <w:tr w:rsidR="0059030B" w:rsidRPr="00401D4E" w:rsidTr="00051694">
        <w:trPr>
          <w:cantSplit/>
          <w:trHeight w:hRule="exact" w:val="425"/>
        </w:trPr>
        <w:tc>
          <w:tcPr>
            <w:tcW w:w="738" w:type="dxa"/>
            <w:vMerge/>
            <w:vAlign w:val="center"/>
          </w:tcPr>
          <w:p w:rsidR="0059030B" w:rsidRPr="00401D4E" w:rsidRDefault="0059030B" w:rsidP="000516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066" w:type="dxa"/>
            <w:gridSpan w:val="4"/>
            <w:tcBorders>
              <w:righ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司机位置处</w:t>
            </w: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dB（A）</w:t>
            </w:r>
          </w:p>
        </w:tc>
        <w:tc>
          <w:tcPr>
            <w:tcW w:w="1936" w:type="dxa"/>
            <w:vAlign w:val="center"/>
          </w:tcPr>
          <w:p w:rsidR="0059030B" w:rsidRPr="00401D4E" w:rsidRDefault="0059030B" w:rsidP="00051694">
            <w:pPr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 w:rsidRPr="00401D4E"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90</w:t>
            </w:r>
          </w:p>
        </w:tc>
      </w:tr>
    </w:tbl>
    <w:p w:rsidR="0059030B" w:rsidRPr="003F74AB" w:rsidRDefault="0059030B" w:rsidP="0059030B">
      <w:pPr>
        <w:jc w:val="center"/>
        <w:rPr>
          <w:rFonts w:ascii="黑体" w:eastAsia="黑体" w:hAnsi="宋体"/>
          <w:b/>
          <w:bCs/>
          <w:sz w:val="40"/>
          <w:lang w:eastAsia="zh-CN"/>
        </w:rPr>
      </w:pPr>
    </w:p>
    <w:p w:rsidR="00F20BE5" w:rsidRDefault="00F20BE5"/>
    <w:sectPr w:rsidR="00F20BE5" w:rsidSect="00E97A04">
      <w:pgSz w:w="11901" w:h="16834"/>
      <w:pgMar w:top="1418" w:right="1701" w:bottom="1418" w:left="1418" w:header="720" w:footer="720" w:gutter="0"/>
      <w:paperSrc w:first="1" w:other="1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03" w:rsidRDefault="002C3C03" w:rsidP="0059030B">
      <w:pPr>
        <w:spacing w:line="240" w:lineRule="auto"/>
      </w:pPr>
      <w:r>
        <w:separator/>
      </w:r>
    </w:p>
  </w:endnote>
  <w:endnote w:type="continuationSeparator" w:id="0">
    <w:p w:rsidR="002C3C03" w:rsidRDefault="002C3C03" w:rsidP="00590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F3" w:rsidRPr="0059030B" w:rsidRDefault="002C3C03" w:rsidP="0059030B">
    <w:pPr>
      <w:pStyle w:val="a3"/>
      <w:spacing w:after="48"/>
      <w:ind w:right="360"/>
      <w:rPr>
        <w:rFonts w:eastAsiaTheme="minorEastAsia"/>
        <w:b/>
        <w:bCs/>
        <w:color w:val="000080"/>
        <w:sz w:val="21"/>
        <w:shd w:val="pct15" w:color="auto" w:fill="FFFFFF"/>
        <w:lang w:eastAsia="zh-CN"/>
      </w:rPr>
    </w:pPr>
  </w:p>
  <w:p w:rsidR="006D67F3" w:rsidRPr="007033CB" w:rsidRDefault="005F4F9D" w:rsidP="007033CB">
    <w:pPr>
      <w:pStyle w:val="a3"/>
      <w:spacing w:line="240" w:lineRule="auto"/>
      <w:jc w:val="center"/>
      <w:rPr>
        <w:rFonts w:ascii="仿宋_GB2312" w:eastAsia="仿宋_GB2312"/>
        <w:b/>
        <w:sz w:val="21"/>
        <w:szCs w:val="21"/>
      </w:rPr>
    </w:pPr>
    <w:r w:rsidRPr="007033CB">
      <w:rPr>
        <w:rFonts w:ascii="仿宋_GB2312" w:eastAsia="仿宋_GB2312" w:hint="eastAsia"/>
        <w:b/>
        <w:sz w:val="21"/>
        <w:szCs w:val="21"/>
      </w:rPr>
      <w:fldChar w:fldCharType="begin"/>
    </w:r>
    <w:r w:rsidR="00CD5CB8" w:rsidRPr="007033CB">
      <w:rPr>
        <w:rFonts w:ascii="仿宋_GB2312" w:eastAsia="仿宋_GB2312" w:hint="eastAsia"/>
        <w:b/>
        <w:sz w:val="21"/>
        <w:szCs w:val="21"/>
      </w:rPr>
      <w:instrText xml:space="preserve"> PAGE   \* MERGEFORMAT </w:instrText>
    </w:r>
    <w:r w:rsidRPr="007033CB">
      <w:rPr>
        <w:rFonts w:ascii="仿宋_GB2312" w:eastAsia="仿宋_GB2312" w:hint="eastAsia"/>
        <w:b/>
        <w:sz w:val="21"/>
        <w:szCs w:val="21"/>
      </w:rPr>
      <w:fldChar w:fldCharType="separate"/>
    </w:r>
    <w:r w:rsidR="004C5C9D">
      <w:rPr>
        <w:rFonts w:ascii="仿宋_GB2312" w:eastAsia="仿宋_GB2312"/>
        <w:b/>
        <w:noProof/>
        <w:sz w:val="21"/>
        <w:szCs w:val="21"/>
      </w:rPr>
      <w:t>6</w:t>
    </w:r>
    <w:r w:rsidRPr="007033CB">
      <w:rPr>
        <w:rFonts w:ascii="仿宋_GB2312" w:eastAsia="仿宋_GB2312" w:hint="eastAsia"/>
        <w:b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03" w:rsidRDefault="002C3C03" w:rsidP="0059030B">
      <w:pPr>
        <w:spacing w:line="240" w:lineRule="auto"/>
      </w:pPr>
      <w:r>
        <w:separator/>
      </w:r>
    </w:p>
  </w:footnote>
  <w:footnote w:type="continuationSeparator" w:id="0">
    <w:p w:rsidR="002C3C03" w:rsidRDefault="002C3C03" w:rsidP="005903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30B"/>
    <w:rsid w:val="001340C6"/>
    <w:rsid w:val="002B2613"/>
    <w:rsid w:val="002C3C03"/>
    <w:rsid w:val="00363CE2"/>
    <w:rsid w:val="00452A1A"/>
    <w:rsid w:val="004C5C9D"/>
    <w:rsid w:val="00585E02"/>
    <w:rsid w:val="0059030B"/>
    <w:rsid w:val="005B11B3"/>
    <w:rsid w:val="005F4F9D"/>
    <w:rsid w:val="0064200F"/>
    <w:rsid w:val="006D5E2D"/>
    <w:rsid w:val="006F57CD"/>
    <w:rsid w:val="007F536B"/>
    <w:rsid w:val="008134B9"/>
    <w:rsid w:val="0090358A"/>
    <w:rsid w:val="0090487E"/>
    <w:rsid w:val="0097238C"/>
    <w:rsid w:val="00974C65"/>
    <w:rsid w:val="0098687A"/>
    <w:rsid w:val="009A52B9"/>
    <w:rsid w:val="00A070E8"/>
    <w:rsid w:val="00A910E3"/>
    <w:rsid w:val="00BA2F49"/>
    <w:rsid w:val="00BD4748"/>
    <w:rsid w:val="00C13643"/>
    <w:rsid w:val="00CD5CB8"/>
    <w:rsid w:val="00CE6F22"/>
    <w:rsid w:val="00D3745D"/>
    <w:rsid w:val="00D51703"/>
    <w:rsid w:val="00D94B32"/>
    <w:rsid w:val="00E1580B"/>
    <w:rsid w:val="00E56D68"/>
    <w:rsid w:val="00E82909"/>
    <w:rsid w:val="00F0697F"/>
    <w:rsid w:val="00F20BE5"/>
    <w:rsid w:val="00F9745D"/>
    <w:rsid w:val="00FC0491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0B"/>
    <w:pPr>
      <w:widowControl w:val="0"/>
      <w:autoSpaceDE w:val="0"/>
      <w:autoSpaceDN w:val="0"/>
      <w:adjustRightInd w:val="0"/>
      <w:spacing w:line="240" w:lineRule="atLeast"/>
    </w:pPr>
    <w:rPr>
      <w:rFonts w:ascii="Arial" w:eastAsia="MingLiU" w:hAnsi="Arial" w:cs="Arial"/>
      <w:kern w:val="0"/>
      <w:sz w:val="26"/>
      <w:szCs w:val="2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9030B"/>
    <w:rPr>
      <w:rFonts w:ascii="Arial" w:eastAsia="MingLiU" w:hAnsi="Arial" w:cs="Arial"/>
      <w:sz w:val="18"/>
      <w:szCs w:val="18"/>
      <w:lang w:eastAsia="zh-TW"/>
    </w:rPr>
  </w:style>
  <w:style w:type="paragraph" w:styleId="a3">
    <w:name w:val="footer"/>
    <w:basedOn w:val="a"/>
    <w:link w:val="Char"/>
    <w:uiPriority w:val="99"/>
    <w:rsid w:val="0059030B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9030B"/>
    <w:rPr>
      <w:rFonts w:ascii="Arial" w:eastAsia="MingLiU" w:hAnsi="Arial" w:cs="Arial"/>
      <w:kern w:val="0"/>
      <w:sz w:val="18"/>
      <w:szCs w:val="18"/>
      <w:lang w:eastAsia="zh-TW"/>
    </w:rPr>
  </w:style>
  <w:style w:type="paragraph" w:customStyle="1" w:styleId="xl29">
    <w:name w:val="xl29"/>
    <w:basedOn w:val="a"/>
    <w:rsid w:val="0059030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a4">
    <w:name w:val="技术要求"/>
    <w:basedOn w:val="a"/>
    <w:rsid w:val="0059030B"/>
    <w:pPr>
      <w:autoSpaceDE/>
      <w:autoSpaceDN/>
      <w:adjustRightInd/>
      <w:spacing w:line="330" w:lineRule="exact"/>
    </w:pPr>
    <w:rPr>
      <w:rFonts w:ascii="宋体" w:eastAsia="宋体" w:hAnsi="宋体" w:cs="宋体"/>
      <w:w w:val="89"/>
      <w:kern w:val="2"/>
      <w:sz w:val="24"/>
      <w:szCs w:val="20"/>
      <w:lang w:eastAsia="zh-CN"/>
    </w:rPr>
  </w:style>
  <w:style w:type="paragraph" w:styleId="a5">
    <w:name w:val="header"/>
    <w:basedOn w:val="a"/>
    <w:link w:val="Char0"/>
    <w:uiPriority w:val="99"/>
    <w:unhideWhenUsed/>
    <w:rsid w:val="00590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030B"/>
    <w:rPr>
      <w:rFonts w:ascii="Arial" w:eastAsia="MingLiU" w:hAnsi="Arial" w:cs="Arial"/>
      <w:kern w:val="0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0B"/>
    <w:pPr>
      <w:widowControl w:val="0"/>
      <w:autoSpaceDE w:val="0"/>
      <w:autoSpaceDN w:val="0"/>
      <w:adjustRightInd w:val="0"/>
      <w:spacing w:line="240" w:lineRule="atLeast"/>
    </w:pPr>
    <w:rPr>
      <w:rFonts w:ascii="Arial" w:eastAsia="MingLiU" w:hAnsi="Arial" w:cs="Arial"/>
      <w:kern w:val="0"/>
      <w:sz w:val="26"/>
      <w:szCs w:val="26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9030B"/>
    <w:rPr>
      <w:rFonts w:ascii="Arial" w:eastAsia="MingLiU" w:hAnsi="Arial" w:cs="Arial"/>
      <w:sz w:val="18"/>
      <w:szCs w:val="18"/>
      <w:lang w:eastAsia="zh-TW"/>
    </w:rPr>
  </w:style>
  <w:style w:type="paragraph" w:styleId="a3">
    <w:name w:val="footer"/>
    <w:basedOn w:val="a"/>
    <w:link w:val="Char"/>
    <w:uiPriority w:val="99"/>
    <w:rsid w:val="0059030B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9030B"/>
    <w:rPr>
      <w:rFonts w:ascii="Arial" w:eastAsia="MingLiU" w:hAnsi="Arial" w:cs="Arial"/>
      <w:kern w:val="0"/>
      <w:sz w:val="18"/>
      <w:szCs w:val="18"/>
      <w:lang w:eastAsia="zh-TW"/>
    </w:rPr>
  </w:style>
  <w:style w:type="paragraph" w:customStyle="1" w:styleId="xl29">
    <w:name w:val="xl29"/>
    <w:basedOn w:val="a"/>
    <w:rsid w:val="0059030B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a4">
    <w:name w:val="技术要求"/>
    <w:basedOn w:val="a"/>
    <w:rsid w:val="0059030B"/>
    <w:pPr>
      <w:autoSpaceDE/>
      <w:autoSpaceDN/>
      <w:adjustRightInd/>
      <w:spacing w:line="330" w:lineRule="exact"/>
    </w:pPr>
    <w:rPr>
      <w:rFonts w:ascii="宋体" w:eastAsia="宋体" w:hAnsi="宋体" w:cs="宋体"/>
      <w:w w:val="89"/>
      <w:kern w:val="2"/>
      <w:sz w:val="24"/>
      <w:szCs w:val="20"/>
      <w:lang w:eastAsia="zh-CN"/>
    </w:rPr>
  </w:style>
  <w:style w:type="paragraph" w:styleId="a5">
    <w:name w:val="header"/>
    <w:basedOn w:val="a"/>
    <w:link w:val="Char0"/>
    <w:uiPriority w:val="99"/>
    <w:unhideWhenUsed/>
    <w:rsid w:val="00590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030B"/>
    <w:rPr>
      <w:rFonts w:ascii="Arial" w:eastAsia="MingLiU" w:hAnsi="Arial" w:cs="Arial"/>
      <w:kern w:val="0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611</Words>
  <Characters>3485</Characters>
  <Application>Microsoft Office Word</Application>
  <DocSecurity>0</DocSecurity>
  <Lines>29</Lines>
  <Paragraphs>8</Paragraphs>
  <ScaleCrop>false</ScaleCrop>
  <Company>Lenovo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邹剑翔</dc:creator>
  <cp:lastModifiedBy>Administrator</cp:lastModifiedBy>
  <cp:revision>2</cp:revision>
  <dcterms:created xsi:type="dcterms:W3CDTF">2017-09-30T10:12:00Z</dcterms:created>
  <dcterms:modified xsi:type="dcterms:W3CDTF">2017-10-12T03:04:00Z</dcterms:modified>
</cp:coreProperties>
</file>