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ind w:firstLine="2880" w:firstLineChars="400"/>
        <w:jc w:val="both"/>
        <w:rPr>
          <w:rFonts w:ascii="仿宋_GB2312" w:hAnsi="仿宋_GB2312" w:eastAsia="仿宋_GB2312" w:cs="仿宋_GB2312"/>
          <w:b/>
          <w:bCs/>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sz w:val="24"/>
          <w:szCs w:val="28"/>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24"/>
          <w:szCs w:val="28"/>
          <w14:textFill>
            <w14:solidFill>
              <w14:schemeClr w14:val="tx1"/>
            </w14:solidFill>
          </w14:textFill>
        </w:rPr>
      </w:pPr>
      <w:r>
        <w:rPr>
          <w:rFonts w:ascii="仿宋_GB2312" w:hAnsi="仿宋_GB2312" w:eastAsia="仿宋_GB2312" w:cs="仿宋_GB2312"/>
          <w:b/>
          <w:bCs/>
          <w:color w:val="000000" w:themeColor="text1"/>
          <w:sz w:val="24"/>
          <w:szCs w:val="28"/>
          <w14:textFill>
            <w14:solidFill>
              <w14:schemeClr w14:val="tx1"/>
            </w14:solidFill>
          </w14:textFill>
        </w:rPr>
        <w:t xml:space="preserve">          </w:t>
      </w:r>
    </w:p>
    <w:p>
      <w:pPr>
        <w:spacing w:line="500" w:lineRule="exact"/>
        <w:ind w:firstLine="960" w:firstLineChars="300"/>
        <w:jc w:val="left"/>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XE-20210423-2</w:t>
      </w:r>
    </w:p>
    <w:p>
      <w:pPr>
        <w:spacing w:line="500" w:lineRule="exact"/>
        <w:ind w:left="2249" w:hanging="2240" w:hangingChars="700"/>
        <w:jc w:val="left"/>
        <w:rPr>
          <w:rFonts w:ascii="仿宋_GB2312" w:hAnsi="仿宋_GB2312" w:eastAsia="仿宋_GB2312" w:cs="仿宋_GB2312"/>
          <w:b/>
          <w:bCs/>
          <w:color w:val="000000" w:themeColor="text1"/>
          <w:sz w:val="24"/>
          <w:szCs w:val="28"/>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 xml:space="preserve">      项目名称：</w:t>
      </w:r>
      <w:r>
        <w:rPr>
          <w:rFonts w:hint="eastAsia" w:ascii="仿宋_GB2312" w:hAnsi="仿宋_GB2312" w:eastAsia="仿宋_GB2312" w:cs="仿宋_GB2312"/>
          <w:b/>
          <w:bCs/>
          <w:color w:val="000000" w:themeColor="text1"/>
          <w:sz w:val="32"/>
          <w:szCs w:val="32"/>
          <w14:textFill>
            <w14:solidFill>
              <w14:schemeClr w14:val="tx1"/>
            </w14:solidFill>
          </w14:textFill>
        </w:rPr>
        <w:t>2021年广州市净水有限公司起重设备维保维修及检测服务项目</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pStyle w:val="24"/>
        <w:rPr>
          <w:rFonts w:ascii="仿宋_GB2312" w:hAnsi="仿宋_GB2312" w:eastAsia="仿宋_GB2312" w:cs="仿宋_GB2312"/>
          <w:b/>
          <w:color w:val="000000" w:themeColor="text1"/>
          <w:sz w:val="28"/>
          <w14:textFill>
            <w14:solidFill>
              <w14:schemeClr w14:val="tx1"/>
            </w14:solidFill>
          </w14:textFill>
        </w:rPr>
      </w:pPr>
    </w:p>
    <w:p>
      <w:pPr>
        <w:pStyle w:val="24"/>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ascii="仿宋_GB2312" w:hAnsi="仿宋_GB2312" w:eastAsia="仿宋_GB2312" w:cs="仿宋_GB2312"/>
          <w:b/>
          <w:bCs/>
          <w:color w:val="000000" w:themeColor="text1"/>
          <w:sz w:val="36"/>
          <w14:textFill>
            <w14:solidFill>
              <w14:schemeClr w14:val="tx1"/>
            </w14:solidFill>
          </w14:textFill>
        </w:rPr>
        <w:t xml:space="preserve"> 广州市净水有限公司编制</w:t>
      </w:r>
    </w:p>
    <w:p>
      <w:pPr>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w:t>
      </w:r>
      <w:r>
        <w:rPr>
          <w:rFonts w:ascii="仿宋_GB2312" w:hAnsi="仿宋_GB2312" w:eastAsia="仿宋_GB2312" w:cs="仿宋_GB2312"/>
          <w:b/>
          <w:bCs/>
          <w:color w:val="000000" w:themeColor="text1"/>
          <w:sz w:val="28"/>
          <w14:textFill>
            <w14:solidFill>
              <w14:schemeClr w14:val="tx1"/>
            </w14:solidFill>
          </w14:textFill>
        </w:rPr>
        <w:t>202</w:t>
      </w:r>
      <w:r>
        <w:rPr>
          <w:rFonts w:hint="eastAsia" w:ascii="仿宋_GB2312" w:hAnsi="仿宋_GB2312" w:eastAsia="仿宋_GB2312" w:cs="仿宋_GB2312"/>
          <w:b/>
          <w:bCs/>
          <w:color w:val="000000" w:themeColor="text1"/>
          <w:sz w:val="28"/>
          <w14:textFill>
            <w14:solidFill>
              <w14:schemeClr w14:val="tx1"/>
            </w14:solidFill>
          </w14:textFill>
        </w:rPr>
        <w:t>1</w:t>
      </w:r>
      <w:r>
        <w:rPr>
          <w:rFonts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4</w:t>
      </w:r>
      <w:r>
        <w:rPr>
          <w:rFonts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23</w:t>
      </w:r>
      <w:r>
        <w:rPr>
          <w:rFonts w:ascii="仿宋_GB2312" w:hAnsi="仿宋_GB2312" w:eastAsia="仿宋_GB2312" w:cs="仿宋_GB2312"/>
          <w:b/>
          <w:bCs/>
          <w:color w:val="000000" w:themeColor="text1"/>
          <w:sz w:val="28"/>
          <w14:textFill>
            <w14:solidFill>
              <w14:schemeClr w14:val="tx1"/>
            </w14:solidFill>
          </w14:textFill>
        </w:rPr>
        <w:t>日</w:t>
      </w:r>
    </w:p>
    <w:p>
      <w:pPr>
        <w:rPr>
          <w:rFonts w:ascii="仿宋_GB2312" w:hAnsi="仿宋_GB2312" w:eastAsia="仿宋_GB2312" w:cs="仿宋_GB2312"/>
          <w:color w:val="000000" w:themeColor="text1"/>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r>
        <w:rPr>
          <w:rFonts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4"/>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第六部分附件</w:t>
      </w: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r>
        <w:rPr>
          <w:rFonts w:ascii="仿宋_GB2312" w:hAnsi="仿宋_GB2312" w:eastAsia="仿宋_GB2312" w:cs="仿宋_GB2312"/>
          <w:color w:val="000000" w:themeColor="text1"/>
          <w:kern w:val="0"/>
          <w:sz w:val="28"/>
          <w:szCs w:val="28"/>
          <w14:textFill>
            <w14:solidFill>
              <w14:schemeClr w14:val="tx1"/>
            </w14:solidFill>
          </w14:textFill>
        </w:rPr>
        <w:t>:</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 w:hAnsi="仿宋" w:eastAsia="仿宋" w:cs="宋体"/>
          <w:kern w:val="0"/>
          <w:sz w:val="28"/>
          <w:szCs w:val="28"/>
          <w:u w:val="single"/>
        </w:rPr>
        <w:t>2</w:t>
      </w:r>
      <w:r>
        <w:rPr>
          <w:rFonts w:ascii="仿宋" w:hAnsi="仿宋" w:eastAsia="仿宋" w:cs="宋体"/>
          <w:kern w:val="0"/>
          <w:sz w:val="28"/>
          <w:szCs w:val="28"/>
          <w:u w:val="single"/>
        </w:rPr>
        <w:t>021年起重设备维保维修及检测服务项目</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 w:hAnsi="仿宋" w:eastAsia="仿宋" w:cs="仿宋_GB2312"/>
          <w:sz w:val="28"/>
          <w:szCs w:val="28"/>
        </w:rPr>
        <w:t>自筹资金</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XE-20210423-2</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spacing w:line="360" w:lineRule="auto"/>
        <w:ind w:firstLine="560" w:firstLineChars="200"/>
        <w:rPr>
          <w:rFonts w:ascii="仿宋" w:hAnsi="仿宋" w:eastAsia="仿宋" w:cs="宋体"/>
          <w:kern w:val="0"/>
          <w:sz w:val="28"/>
          <w:szCs w:val="28"/>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 w:hAnsi="仿宋" w:eastAsia="仿宋" w:cs="宋体"/>
          <w:kern w:val="0"/>
          <w:sz w:val="28"/>
          <w:szCs w:val="28"/>
          <w:u w:val="single"/>
        </w:rPr>
        <w:t>2</w:t>
      </w:r>
      <w:r>
        <w:rPr>
          <w:rFonts w:ascii="仿宋" w:hAnsi="仿宋" w:eastAsia="仿宋" w:cs="宋体"/>
          <w:kern w:val="0"/>
          <w:sz w:val="28"/>
          <w:szCs w:val="28"/>
          <w:u w:val="single"/>
        </w:rPr>
        <w:t>021年广州</w:t>
      </w:r>
      <w:r>
        <w:rPr>
          <w:rFonts w:hint="eastAsia" w:ascii="仿宋" w:hAnsi="仿宋" w:eastAsia="仿宋" w:cs="宋体"/>
          <w:kern w:val="0"/>
          <w:sz w:val="28"/>
          <w:szCs w:val="28"/>
          <w:u w:val="single"/>
        </w:rPr>
        <w:t>市</w:t>
      </w:r>
      <w:r>
        <w:rPr>
          <w:rFonts w:ascii="仿宋" w:hAnsi="仿宋" w:eastAsia="仿宋" w:cs="宋体"/>
          <w:kern w:val="0"/>
          <w:sz w:val="28"/>
          <w:szCs w:val="28"/>
          <w:u w:val="single"/>
        </w:rPr>
        <w:t>净水</w:t>
      </w:r>
      <w:r>
        <w:rPr>
          <w:rFonts w:hint="eastAsia" w:ascii="仿宋" w:hAnsi="仿宋" w:eastAsia="仿宋" w:cs="宋体"/>
          <w:kern w:val="0"/>
          <w:sz w:val="28"/>
          <w:szCs w:val="28"/>
          <w:u w:val="single"/>
        </w:rPr>
        <w:t>有限</w:t>
      </w:r>
      <w:r>
        <w:rPr>
          <w:rFonts w:ascii="仿宋" w:hAnsi="仿宋" w:eastAsia="仿宋" w:cs="宋体"/>
          <w:kern w:val="0"/>
          <w:sz w:val="28"/>
          <w:szCs w:val="28"/>
          <w:u w:val="single"/>
        </w:rPr>
        <w:t>公司起重设备维保维修及检测服务项目</w:t>
      </w:r>
      <w:r>
        <w:rPr>
          <w:rFonts w:hint="eastAsia" w:ascii="仿宋" w:hAnsi="仿宋" w:eastAsia="仿宋" w:cs="宋体"/>
          <w:kern w:val="0"/>
          <w:sz w:val="28"/>
          <w:szCs w:val="28"/>
          <w:u w:val="single"/>
        </w:rPr>
        <w:t xml:space="preserve"> </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 w:hAnsi="仿宋" w:eastAsia="仿宋" w:cs="仿宋_GB2312"/>
          <w:sz w:val="28"/>
          <w:szCs w:val="28"/>
          <w:u w:val="none"/>
        </w:rPr>
        <w:t xml:space="preserve">143.075 </w:t>
      </w:r>
      <w:r>
        <w:rPr>
          <w:rFonts w:hint="eastAsia" w:ascii="仿宋" w:hAnsi="仿宋" w:eastAsia="仿宋" w:cs="仿宋_GB2312"/>
          <w:sz w:val="28"/>
          <w:szCs w:val="28"/>
          <w:u w:val="none"/>
        </w:rPr>
        <w:t>万元（人民币）</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w:t>
      </w:r>
    </w:p>
    <w:p>
      <w:pPr>
        <w:pStyle w:val="9"/>
        <w:spacing w:line="360" w:lineRule="auto"/>
        <w:ind w:firstLine="560" w:firstLineChars="200"/>
        <w:rPr>
          <w:rFonts w:ascii="仿宋" w:hAnsi="仿宋" w:eastAsia="仿宋" w:cs="宋体"/>
          <w:sz w:val="28"/>
          <w:szCs w:val="28"/>
        </w:rPr>
      </w:pPr>
      <w:r>
        <w:rPr>
          <w:rFonts w:ascii="仿宋_GB2312" w:hAnsi="仿宋_GB2312" w:eastAsia="仿宋_GB2312" w:cs="仿宋_GB2312"/>
          <w:color w:val="000000" w:themeColor="text1"/>
          <w:sz w:val="28"/>
          <w:szCs w:val="28"/>
          <w14:textFill>
            <w14:solidFill>
              <w14:schemeClr w14:val="tx1"/>
            </w14:solidFill>
          </w14:textFill>
        </w:rPr>
        <w:t xml:space="preserve"> </w:t>
      </w:r>
      <w:r>
        <w:rPr>
          <w:rFonts w:ascii="仿宋" w:hAnsi="仿宋" w:eastAsia="仿宋" w:cs="仿宋_GB2312"/>
          <w:sz w:val="28"/>
          <w:szCs w:val="28"/>
          <w:u w:val="none"/>
        </w:rPr>
        <w:t>对广州市净水有限公司属下的</w:t>
      </w:r>
      <w:r>
        <w:rPr>
          <w:rFonts w:hint="eastAsia" w:ascii="仿宋" w:hAnsi="仿宋" w:eastAsia="仿宋" w:cs="仿宋_GB2312"/>
          <w:sz w:val="28"/>
          <w:szCs w:val="28"/>
          <w:u w:val="none"/>
        </w:rPr>
        <w:t>猎德分公司、</w:t>
      </w:r>
      <w:r>
        <w:rPr>
          <w:rFonts w:ascii="仿宋" w:hAnsi="仿宋" w:eastAsia="仿宋" w:cs="仿宋_GB2312"/>
          <w:sz w:val="28"/>
          <w:szCs w:val="28"/>
          <w:u w:val="none"/>
        </w:rPr>
        <w:t>大坦沙分公司</w:t>
      </w:r>
      <w:r>
        <w:rPr>
          <w:rFonts w:hint="eastAsia" w:ascii="仿宋" w:hAnsi="仿宋" w:eastAsia="仿宋" w:cs="仿宋_GB2312"/>
          <w:sz w:val="28"/>
          <w:szCs w:val="28"/>
          <w:u w:val="none"/>
        </w:rPr>
        <w:t>、</w:t>
      </w:r>
      <w:r>
        <w:rPr>
          <w:rFonts w:ascii="仿宋" w:hAnsi="仿宋" w:eastAsia="仿宋" w:cs="仿宋_GB2312"/>
          <w:sz w:val="28"/>
          <w:szCs w:val="28"/>
          <w:u w:val="none"/>
        </w:rPr>
        <w:t>沥滘分公司</w:t>
      </w:r>
      <w:r>
        <w:rPr>
          <w:rFonts w:hint="eastAsia" w:ascii="仿宋" w:hAnsi="仿宋" w:eastAsia="仿宋" w:cs="仿宋_GB2312"/>
          <w:sz w:val="28"/>
          <w:szCs w:val="28"/>
          <w:u w:val="none"/>
        </w:rPr>
        <w:t>、石井分公司、石井净水分公司、</w:t>
      </w:r>
      <w:r>
        <w:rPr>
          <w:rFonts w:ascii="仿宋" w:hAnsi="仿宋" w:eastAsia="仿宋" w:cs="仿宋_GB2312"/>
          <w:sz w:val="28"/>
          <w:szCs w:val="28"/>
          <w:u w:val="none"/>
        </w:rPr>
        <w:t>龙归分公司</w:t>
      </w:r>
      <w:r>
        <w:rPr>
          <w:rFonts w:hint="eastAsia" w:ascii="仿宋" w:hAnsi="仿宋" w:eastAsia="仿宋" w:cs="仿宋_GB2312"/>
          <w:sz w:val="28"/>
          <w:szCs w:val="28"/>
          <w:u w:val="none"/>
        </w:rPr>
        <w:t>、竹料分公司、</w:t>
      </w:r>
      <w:r>
        <w:rPr>
          <w:rFonts w:ascii="仿宋" w:hAnsi="仿宋" w:eastAsia="仿宋" w:cs="仿宋_GB2312"/>
          <w:sz w:val="28"/>
          <w:szCs w:val="28"/>
          <w:u w:val="none"/>
        </w:rPr>
        <w:t>京溪分公司</w:t>
      </w:r>
      <w:r>
        <w:rPr>
          <w:rFonts w:hint="eastAsia" w:ascii="仿宋" w:hAnsi="仿宋" w:eastAsia="仿宋" w:cs="仿宋_GB2312"/>
          <w:sz w:val="28"/>
          <w:szCs w:val="28"/>
          <w:u w:val="none"/>
        </w:rPr>
        <w:t>、大沙地分公司、健康城分公司、大观分公司、江高分公司、西朗二期起重机械</w:t>
      </w:r>
      <w:r>
        <w:rPr>
          <w:rFonts w:ascii="仿宋" w:hAnsi="仿宋" w:eastAsia="仿宋" w:cs="仿宋_GB2312"/>
          <w:sz w:val="28"/>
          <w:szCs w:val="28"/>
          <w:u w:val="none"/>
        </w:rPr>
        <w:t>进行定期</w:t>
      </w:r>
      <w:r>
        <w:rPr>
          <w:rFonts w:hint="eastAsia" w:ascii="仿宋" w:hAnsi="仿宋" w:eastAsia="仿宋" w:cs="仿宋_GB2312"/>
          <w:sz w:val="28"/>
          <w:szCs w:val="28"/>
          <w:u w:val="none"/>
        </w:rPr>
        <w:t>安全检查、</w:t>
      </w:r>
      <w:r>
        <w:rPr>
          <w:rFonts w:ascii="仿宋" w:hAnsi="仿宋" w:eastAsia="仿宋" w:cs="仿宋_GB2312"/>
          <w:sz w:val="28"/>
          <w:szCs w:val="28"/>
          <w:u w:val="none"/>
        </w:rPr>
        <w:t>维保</w:t>
      </w:r>
      <w:r>
        <w:rPr>
          <w:rFonts w:hint="eastAsia" w:ascii="仿宋" w:hAnsi="仿宋" w:eastAsia="仿宋" w:cs="仿宋_GB2312"/>
          <w:sz w:val="28"/>
          <w:szCs w:val="28"/>
          <w:u w:val="none"/>
        </w:rPr>
        <w:t>、维修、</w:t>
      </w:r>
      <w:r>
        <w:rPr>
          <w:rFonts w:ascii="仿宋" w:hAnsi="仿宋" w:eastAsia="仿宋" w:cs="仿宋_GB2312"/>
          <w:sz w:val="28"/>
          <w:szCs w:val="28"/>
          <w:u w:val="none"/>
        </w:rPr>
        <w:t>检测等服务</w:t>
      </w:r>
      <w:r>
        <w:rPr>
          <w:rFonts w:hint="eastAsia" w:ascii="仿宋" w:hAnsi="仿宋" w:eastAsia="仿宋" w:cs="仿宋_GB2312"/>
          <w:sz w:val="28"/>
          <w:szCs w:val="28"/>
          <w:u w:val="none"/>
        </w:rPr>
        <w:t>。</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spacing w:line="360" w:lineRule="auto"/>
        <w:ind w:firstLine="560" w:firstLineChars="200"/>
        <w:rPr>
          <w:rFonts w:ascii="仿宋" w:hAnsi="仿宋" w:eastAsia="仿宋" w:cs="仿宋_GB2312"/>
          <w:sz w:val="28"/>
          <w:szCs w:val="28"/>
          <w:u w:val="single"/>
        </w:rPr>
      </w:pPr>
      <w:r>
        <w:rPr>
          <w:rFonts w:ascii="仿宋" w:hAnsi="仿宋" w:eastAsia="仿宋" w:cs="仿宋_GB2312"/>
          <w:sz w:val="28"/>
          <w:szCs w:val="28"/>
          <w:u w:val="single"/>
        </w:rPr>
        <w:t>1</w:t>
      </w:r>
      <w:r>
        <w:rPr>
          <w:rFonts w:hint="eastAsia" w:ascii="仿宋" w:hAnsi="仿宋" w:eastAsia="仿宋" w:cs="仿宋_GB2312"/>
          <w:sz w:val="28"/>
          <w:szCs w:val="28"/>
          <w:u w:val="single"/>
        </w:rPr>
        <w:t>、报价单位须是中华人民共和国境内的法人或者其他组织，具有独立法人资格，能开具增值税专用发票。</w:t>
      </w:r>
    </w:p>
    <w:p>
      <w:pPr>
        <w:autoSpaceDE w:val="0"/>
        <w:autoSpaceDN w:val="0"/>
        <w:spacing w:line="360" w:lineRule="auto"/>
        <w:ind w:firstLine="560" w:firstLineChars="200"/>
        <w:rPr>
          <w:rFonts w:ascii="仿宋" w:hAnsi="仿宋" w:eastAsia="仿宋" w:cs="仿宋_GB2312"/>
          <w:sz w:val="28"/>
          <w:szCs w:val="28"/>
          <w:u w:val="single"/>
        </w:rPr>
      </w:pPr>
      <w:r>
        <w:rPr>
          <w:rFonts w:hint="eastAsia" w:ascii="仿宋" w:hAnsi="仿宋" w:eastAsia="仿宋" w:cs="仿宋_GB2312"/>
          <w:sz w:val="28"/>
          <w:szCs w:val="28"/>
          <w:u w:val="single"/>
        </w:rPr>
        <w:t xml:space="preserve">2、报价单位必须具有起重机械维修资质B级（或以上）的特种设备许可证； </w:t>
      </w:r>
    </w:p>
    <w:p>
      <w:pPr>
        <w:spacing w:line="360" w:lineRule="auto"/>
        <w:ind w:firstLine="560" w:firstLineChars="200"/>
      </w:pPr>
      <w:r>
        <w:rPr>
          <w:rFonts w:hint="eastAsia" w:ascii="仿宋" w:hAnsi="仿宋" w:eastAsia="仿宋" w:cs="仿宋_GB2312"/>
          <w:sz w:val="28"/>
          <w:szCs w:val="28"/>
          <w:u w:val="single"/>
        </w:rPr>
        <w:t>3、2</w:t>
      </w:r>
      <w:r>
        <w:rPr>
          <w:rFonts w:ascii="仿宋" w:hAnsi="仿宋" w:eastAsia="仿宋" w:cs="仿宋_GB2312"/>
          <w:sz w:val="28"/>
          <w:szCs w:val="28"/>
          <w:u w:val="single"/>
        </w:rPr>
        <w:t>018年</w:t>
      </w:r>
      <w:r>
        <w:rPr>
          <w:rFonts w:hint="eastAsia" w:ascii="仿宋" w:hAnsi="仿宋" w:eastAsia="仿宋" w:cs="仿宋_GB2312"/>
          <w:sz w:val="28"/>
          <w:szCs w:val="28"/>
          <w:u w:val="single"/>
        </w:rPr>
        <w:t>1月1日至今，具有一项特种</w:t>
      </w:r>
      <w:r>
        <w:rPr>
          <w:rFonts w:ascii="仿宋" w:hAnsi="仿宋" w:eastAsia="仿宋" w:cs="宋体"/>
          <w:kern w:val="0"/>
          <w:sz w:val="28"/>
          <w:szCs w:val="28"/>
          <w:u w:val="single"/>
        </w:rPr>
        <w:t>起重设备</w:t>
      </w:r>
      <w:r>
        <w:rPr>
          <w:rFonts w:hint="eastAsia" w:ascii="仿宋" w:hAnsi="仿宋" w:eastAsia="仿宋" w:cs="宋体"/>
          <w:kern w:val="0"/>
          <w:sz w:val="28"/>
          <w:szCs w:val="28"/>
          <w:u w:val="single"/>
        </w:rPr>
        <w:t>的维修保养</w:t>
      </w:r>
      <w:r>
        <w:rPr>
          <w:rFonts w:ascii="仿宋" w:hAnsi="仿宋" w:eastAsia="仿宋" w:cs="宋体"/>
          <w:kern w:val="0"/>
          <w:sz w:val="28"/>
          <w:szCs w:val="28"/>
          <w:u w:val="single"/>
        </w:rPr>
        <w:t>的服务</w:t>
      </w:r>
      <w:r>
        <w:rPr>
          <w:rFonts w:hint="eastAsia" w:ascii="仿宋" w:hAnsi="仿宋" w:eastAsia="仿宋" w:cs="仿宋_GB2312"/>
          <w:sz w:val="28"/>
          <w:szCs w:val="28"/>
          <w:u w:val="single"/>
        </w:rPr>
        <w:t>业绩</w:t>
      </w:r>
      <w:r>
        <w:rPr>
          <w:rFonts w:hint="eastAsia" w:ascii="仿宋" w:hAnsi="仿宋" w:eastAsia="仿宋" w:cs="仿宋_GB2312"/>
          <w:sz w:val="28"/>
          <w:szCs w:val="28"/>
          <w:u w:val="single"/>
          <w:lang w:eastAsia="zh-CN"/>
        </w:rPr>
        <w:t>（提供合同复印件，包括但不限于项目名称、金额及实施内容、合同双方签字盖章、签订日期，并加盖单位公章）。</w:t>
      </w:r>
    </w:p>
    <w:p>
      <w:pPr>
        <w:pStyle w:val="37"/>
        <w:autoSpaceDE w:val="0"/>
        <w:autoSpaceDN w:val="0"/>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七、现场踏勘</w:t>
      </w:r>
      <w:r>
        <w:rPr>
          <w:rFonts w:ascii="仿宋_GB2312" w:hAnsi="仿宋_GB2312" w:eastAsia="仿宋_GB2312" w:cs="仿宋_GB2312"/>
          <w:color w:val="000000" w:themeColor="text1"/>
          <w:sz w:val="28"/>
          <w:szCs w:val="28"/>
          <w14:textFill>
            <w14:solidFill>
              <w14:schemeClr w14:val="tx1"/>
            </w14:solidFill>
          </w14:textFill>
        </w:rPr>
        <w:t>(答疑会)时间、地点（也可由报价单位自行踏勘现场）：/</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29</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ascii="仿宋_GB2312" w:hAnsi="仿宋_GB2312" w:eastAsia="仿宋_GB2312" w:cs="仿宋_GB2312"/>
          <w:color w:val="000000" w:themeColor="text1"/>
          <w:sz w:val="28"/>
          <w:szCs w:val="28"/>
          <w14:textFill>
            <w14:solidFill>
              <w14:schemeClr w14:val="tx1"/>
            </w14:solidFill>
          </w14:textFill>
        </w:rPr>
        <w:t>前</w:t>
      </w:r>
      <w:r>
        <w:rPr>
          <w:rFonts w:hint="eastAsia" w:ascii="仿宋_GB2312" w:hAnsi="仿宋_GB2312" w:eastAsia="仿宋_GB2312" w:cs="仿宋_GB2312"/>
          <w:color w:val="000000" w:themeColor="text1"/>
          <w:sz w:val="28"/>
          <w:szCs w:val="28"/>
          <w14:textFill>
            <w14:solidFill>
              <w14:schemeClr w14:val="tx1"/>
            </w14:solidFill>
          </w14:textFill>
        </w:rPr>
        <w:t>，在广州市净水有限公司门户网站免费下载。</w:t>
      </w:r>
    </w:p>
    <w:p>
      <w:pPr>
        <w:spacing w:line="5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29</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分；询价响应文件递交截止时间：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29</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 xml:space="preserve">分。授权委托人递交响应文件时须附上在本单位近三个月社保记录，否则询价响应文件无效。 </w:t>
      </w:r>
    </w:p>
    <w:p>
      <w:pPr>
        <w:ind w:firstLine="560" w:firstLineChars="200"/>
        <w:rPr>
          <w:rFonts w:ascii="仿宋" w:hAnsi="仿宋" w:eastAsia="仿宋_GB2312" w:cs="仿宋"/>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十、响应文件送达地点：广州市天河区临江大道</w:t>
      </w:r>
      <w:r>
        <w:rPr>
          <w:rFonts w:ascii="仿宋_GB2312" w:hAnsi="仿宋_GB2312" w:eastAsia="仿宋_GB2312" w:cs="仿宋_GB2312"/>
          <w:color w:val="000000" w:themeColor="text1"/>
          <w:sz w:val="28"/>
          <w:szCs w:val="28"/>
          <w14:textFill>
            <w14:solidFill>
              <w14:schemeClr w14:val="tx1"/>
            </w14:solidFill>
          </w14:textFill>
        </w:rPr>
        <w:t>501号广州市净水有限公司</w:t>
      </w:r>
      <w:r>
        <w:rPr>
          <w:rFonts w:hint="eastAsia" w:ascii="仿宋_GB2312" w:hAnsi="仿宋_GB2312" w:eastAsia="仿宋_GB2312" w:cs="仿宋_GB2312"/>
          <w:color w:val="000000" w:themeColor="text1"/>
          <w:sz w:val="28"/>
          <w:szCs w:val="28"/>
          <w14:textFill>
            <w14:solidFill>
              <w14:schemeClr w14:val="tx1"/>
            </w14:solidFill>
          </w14:textFill>
        </w:rPr>
        <w:t>六楼招标办</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十一、</w:t>
      </w:r>
      <w:r>
        <w:rPr>
          <w:rFonts w:hint="eastAsia" w:ascii="仿宋_GB2312" w:hAnsi="仿宋_GB2312" w:eastAsia="仿宋_GB2312" w:cs="仿宋_GB2312"/>
          <w:color w:val="000000" w:themeColor="text1"/>
          <w:sz w:val="28"/>
          <w:szCs w:val="28"/>
          <w14:textFill>
            <w14:solidFill>
              <w14:schemeClr w14:val="tx1"/>
            </w14:solidFill>
          </w14:textFill>
        </w:rPr>
        <w:t>评审时间：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29</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十二、评审地点：广州市净水有限公司六楼招标办</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5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snapToGrid w:val="0"/>
        <w:spacing w:line="5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联系地址：广州市天河区临江大道501号</w:t>
      </w:r>
    </w:p>
    <w:p>
      <w:pPr>
        <w:snapToGrid w:val="0"/>
        <w:spacing w:line="5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联系人：黄工                     联系方式：020-62315524  </w:t>
      </w:r>
    </w:p>
    <w:p>
      <w:pPr>
        <w:jc w:val="right"/>
        <w:rPr>
          <w:rFonts w:ascii="仿宋" w:hAnsi="仿宋" w:eastAsia="仿宋" w:cs="仿宋"/>
          <w:color w:val="000000" w:themeColor="text1"/>
          <w:sz w:val="28"/>
          <w:szCs w:val="28"/>
          <w14:textFill>
            <w14:solidFill>
              <w14:schemeClr w14:val="tx1"/>
            </w14:solidFill>
          </w14:textFill>
        </w:rPr>
      </w:pPr>
    </w:p>
    <w:p>
      <w:pPr>
        <w:wordWrap w:val="0"/>
        <w:jc w:val="righ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广州市净水有限公司    </w:t>
      </w:r>
    </w:p>
    <w:p>
      <w:pPr>
        <w:wordWrap w:val="0"/>
        <w:jc w:val="cente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r>
        <w:rPr>
          <w:rFonts w:hint="eastAsia" w:ascii="仿宋" w:hAnsi="仿宋" w:eastAsia="仿宋" w:cs="仿宋"/>
          <w:color w:val="000000" w:themeColor="text1"/>
          <w:sz w:val="28"/>
          <w:szCs w:val="28"/>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202</w:t>
      </w:r>
      <w:r>
        <w:rPr>
          <w:rFonts w:hint="eastAsia" w:ascii="仿宋" w:hAnsi="仿宋" w:eastAsia="仿宋" w:cs="仿宋"/>
          <w:color w:val="000000" w:themeColor="text1"/>
          <w:sz w:val="28"/>
          <w:szCs w:val="28"/>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23</w:t>
      </w:r>
      <w:r>
        <w:rPr>
          <w:rFonts w:ascii="仿宋" w:hAnsi="仿宋" w:eastAsia="仿宋" w:cs="仿宋"/>
          <w:color w:val="000000" w:themeColor="text1"/>
          <w:sz w:val="28"/>
          <w:szCs w:val="28"/>
          <w14:textFill>
            <w14:solidFill>
              <w14:schemeClr w14:val="tx1"/>
            </w14:solidFill>
          </w14:textFill>
        </w:rPr>
        <w:t>日</w:t>
      </w:r>
    </w:p>
    <w:p>
      <w:pPr>
        <w:spacing w:line="360" w:lineRule="auto"/>
        <w:jc w:val="both"/>
        <w:rPr>
          <w:rFonts w:ascii="仿宋_GB2312" w:hAnsi="仿宋_GB2312" w:eastAsia="仿宋_GB2312" w:cs="仿宋_GB2312"/>
          <w:b/>
          <w:sz w:val="28"/>
          <w:szCs w:val="28"/>
        </w:rPr>
      </w:pP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 项目内容</w:t>
      </w:r>
    </w:p>
    <w:p>
      <w:pPr>
        <w:pStyle w:val="9"/>
        <w:numPr>
          <w:ilvl w:val="0"/>
          <w:numId w:val="1"/>
        </w:numPr>
        <w:adjustRightInd w:val="0"/>
        <w:snapToGrid w:val="0"/>
        <w:spacing w:line="360" w:lineRule="auto"/>
        <w:ind w:left="0" w:firstLine="562" w:firstLineChars="200"/>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pStyle w:val="9"/>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为确保广州市净水有限公司属下各单位的起重机械正常使用，降低安全隐患，并加强同类项目的精细管理，现</w:t>
      </w:r>
      <w:r>
        <w:rPr>
          <w:rFonts w:hint="eastAsia" w:ascii="仿宋" w:hAnsi="仿宋" w:eastAsia="仿宋" w:cs="仿宋_GB2312"/>
          <w:sz w:val="28"/>
          <w:szCs w:val="28"/>
        </w:rPr>
        <w:t>拟对广州市净水</w:t>
      </w:r>
      <w:r>
        <w:rPr>
          <w:rFonts w:hint="eastAsia" w:ascii="仿宋" w:hAnsi="仿宋" w:eastAsia="仿宋"/>
          <w:sz w:val="28"/>
          <w:szCs w:val="28"/>
        </w:rPr>
        <w:t>有限公司属下的</w:t>
      </w:r>
      <w:r>
        <w:rPr>
          <w:rFonts w:hint="eastAsia" w:ascii="仿宋" w:hAnsi="仿宋" w:eastAsia="仿宋" w:cs="仿宋_GB2312"/>
          <w:sz w:val="28"/>
          <w:szCs w:val="28"/>
        </w:rPr>
        <w:t>猎德分公司、</w:t>
      </w:r>
      <w:r>
        <w:rPr>
          <w:rFonts w:ascii="仿宋" w:hAnsi="仿宋" w:eastAsia="仿宋" w:cs="仿宋_GB2312"/>
          <w:sz w:val="28"/>
          <w:szCs w:val="28"/>
        </w:rPr>
        <w:t>大坦沙分公司</w:t>
      </w:r>
      <w:r>
        <w:rPr>
          <w:rFonts w:hint="eastAsia" w:ascii="仿宋" w:hAnsi="仿宋" w:eastAsia="仿宋" w:cs="仿宋_GB2312"/>
          <w:sz w:val="28"/>
          <w:szCs w:val="28"/>
        </w:rPr>
        <w:t>、</w:t>
      </w:r>
      <w:r>
        <w:rPr>
          <w:rFonts w:ascii="仿宋" w:hAnsi="仿宋" w:eastAsia="仿宋" w:cs="仿宋_GB2312"/>
          <w:sz w:val="28"/>
          <w:szCs w:val="28"/>
        </w:rPr>
        <w:t>沥滘分公司</w:t>
      </w:r>
      <w:r>
        <w:rPr>
          <w:rFonts w:hint="eastAsia" w:ascii="仿宋" w:hAnsi="仿宋" w:eastAsia="仿宋" w:cs="仿宋_GB2312"/>
          <w:sz w:val="28"/>
          <w:szCs w:val="28"/>
        </w:rPr>
        <w:t>、石井分公司、石井净水分公司、</w:t>
      </w:r>
      <w:r>
        <w:rPr>
          <w:rFonts w:ascii="仿宋" w:hAnsi="仿宋" w:eastAsia="仿宋" w:cs="仿宋_GB2312"/>
          <w:sz w:val="28"/>
          <w:szCs w:val="28"/>
        </w:rPr>
        <w:t>龙归分公司</w:t>
      </w:r>
      <w:r>
        <w:rPr>
          <w:rFonts w:hint="eastAsia" w:ascii="仿宋" w:hAnsi="仿宋" w:eastAsia="仿宋" w:cs="仿宋_GB2312"/>
          <w:sz w:val="28"/>
          <w:szCs w:val="28"/>
        </w:rPr>
        <w:t>、竹料分公司、</w:t>
      </w:r>
      <w:r>
        <w:rPr>
          <w:rFonts w:ascii="仿宋" w:hAnsi="仿宋" w:eastAsia="仿宋" w:cs="仿宋_GB2312"/>
          <w:sz w:val="28"/>
          <w:szCs w:val="28"/>
        </w:rPr>
        <w:t>京溪分公司</w:t>
      </w:r>
      <w:r>
        <w:rPr>
          <w:rFonts w:hint="eastAsia" w:ascii="仿宋" w:hAnsi="仿宋" w:eastAsia="仿宋" w:cs="仿宋_GB2312"/>
          <w:sz w:val="28"/>
          <w:szCs w:val="28"/>
        </w:rPr>
        <w:t>、大沙地分公司、健康城分公司、大观分公司、江高分公司、西朗二期起重机械</w:t>
      </w:r>
      <w:r>
        <w:rPr>
          <w:rFonts w:ascii="仿宋" w:hAnsi="仿宋" w:eastAsia="仿宋" w:cs="仿宋_GB2312"/>
          <w:sz w:val="28"/>
          <w:szCs w:val="28"/>
        </w:rPr>
        <w:t>进行定期</w:t>
      </w:r>
      <w:r>
        <w:rPr>
          <w:rFonts w:hint="eastAsia" w:ascii="仿宋" w:hAnsi="仿宋" w:eastAsia="仿宋" w:cs="仿宋_GB2312"/>
          <w:sz w:val="28"/>
          <w:szCs w:val="28"/>
        </w:rPr>
        <w:t>安全检查、</w:t>
      </w:r>
      <w:r>
        <w:rPr>
          <w:rFonts w:ascii="仿宋" w:hAnsi="仿宋" w:eastAsia="仿宋" w:cs="仿宋_GB2312"/>
          <w:sz w:val="28"/>
          <w:szCs w:val="28"/>
        </w:rPr>
        <w:t>维保</w:t>
      </w:r>
      <w:r>
        <w:rPr>
          <w:rFonts w:hint="eastAsia" w:ascii="仿宋" w:hAnsi="仿宋" w:eastAsia="仿宋" w:cs="仿宋_GB2312"/>
          <w:sz w:val="28"/>
          <w:szCs w:val="28"/>
        </w:rPr>
        <w:t>、维修、</w:t>
      </w:r>
      <w:r>
        <w:rPr>
          <w:rFonts w:ascii="仿宋" w:hAnsi="仿宋" w:eastAsia="仿宋" w:cs="仿宋_GB2312"/>
          <w:sz w:val="28"/>
          <w:szCs w:val="28"/>
        </w:rPr>
        <w:t>检测等服务</w:t>
      </w:r>
      <w:r>
        <w:rPr>
          <w:rFonts w:hint="eastAsia" w:ascii="仿宋" w:hAnsi="仿宋" w:eastAsia="仿宋" w:cs="仿宋_GB2312"/>
          <w:sz w:val="28"/>
          <w:szCs w:val="28"/>
        </w:rPr>
        <w:t>。</w:t>
      </w:r>
      <w:r>
        <w:rPr>
          <w:rFonts w:hint="eastAsia" w:ascii="仿宋" w:hAnsi="仿宋" w:eastAsia="仿宋"/>
          <w:sz w:val="28"/>
          <w:szCs w:val="28"/>
        </w:rPr>
        <w:t>暂定设备数量如下：</w:t>
      </w:r>
    </w:p>
    <w:p>
      <w:pPr>
        <w:pStyle w:val="9"/>
        <w:adjustRightInd w:val="0"/>
        <w:snapToGrid w:val="0"/>
        <w:spacing w:line="300" w:lineRule="auto"/>
        <w:ind w:left="600"/>
        <w:rPr>
          <w:rFonts w:ascii="仿宋" w:hAnsi="仿宋" w:eastAsia="仿宋" w:cs="仿宋_GB2312"/>
          <w:b/>
          <w:sz w:val="28"/>
          <w:szCs w:val="28"/>
          <w:lang w:val="zh-CN"/>
        </w:rPr>
      </w:pPr>
    </w:p>
    <w:tbl>
      <w:tblPr>
        <w:tblStyle w:val="18"/>
        <w:tblW w:w="8552" w:type="dxa"/>
        <w:tblInd w:w="0" w:type="dxa"/>
        <w:tblLayout w:type="autofit"/>
        <w:tblCellMar>
          <w:top w:w="0" w:type="dxa"/>
          <w:left w:w="108" w:type="dxa"/>
          <w:bottom w:w="0" w:type="dxa"/>
          <w:right w:w="108" w:type="dxa"/>
        </w:tblCellMar>
      </w:tblPr>
      <w:tblGrid>
        <w:gridCol w:w="557"/>
        <w:gridCol w:w="1701"/>
        <w:gridCol w:w="1134"/>
        <w:gridCol w:w="993"/>
        <w:gridCol w:w="1134"/>
        <w:gridCol w:w="1275"/>
        <w:gridCol w:w="1758"/>
      </w:tblGrid>
      <w:tr>
        <w:tblPrEx>
          <w:tblCellMar>
            <w:top w:w="0" w:type="dxa"/>
            <w:left w:w="108" w:type="dxa"/>
            <w:bottom w:w="0" w:type="dxa"/>
            <w:right w:w="108" w:type="dxa"/>
          </w:tblCellMar>
        </w:tblPrEx>
        <w:trPr>
          <w:trHeight w:val="900" w:hRule="atLeast"/>
        </w:trPr>
        <w:tc>
          <w:tcPr>
            <w:tcW w:w="8552"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spacing w:line="480" w:lineRule="exact"/>
              <w:jc w:val="center"/>
              <w:rPr>
                <w:rFonts w:ascii="宋体" w:hAnsi="宋体" w:cs="宋体"/>
                <w:b/>
                <w:bCs/>
                <w:color w:val="000000"/>
                <w:kern w:val="0"/>
                <w:sz w:val="36"/>
                <w:szCs w:val="36"/>
              </w:rPr>
            </w:pPr>
            <w:r>
              <w:rPr>
                <w:rFonts w:hint="eastAsia" w:ascii="宋体" w:hAnsi="宋体" w:cs="宋体"/>
                <w:b/>
                <w:bCs/>
                <w:color w:val="000000"/>
                <w:kern w:val="0"/>
                <w:sz w:val="36"/>
                <w:szCs w:val="36"/>
              </w:rPr>
              <w:t>净水公司下属各单位起重设备维保数量汇总</w:t>
            </w:r>
          </w:p>
        </w:tc>
      </w:tr>
      <w:tr>
        <w:tblPrEx>
          <w:tblCellMar>
            <w:top w:w="0" w:type="dxa"/>
            <w:left w:w="108" w:type="dxa"/>
            <w:bottom w:w="0" w:type="dxa"/>
            <w:right w:w="108" w:type="dxa"/>
          </w:tblCellMar>
        </w:tblPrEx>
        <w:trPr>
          <w:trHeight w:val="390" w:hRule="atLeast"/>
        </w:trPr>
        <w:tc>
          <w:tcPr>
            <w:tcW w:w="557" w:type="dxa"/>
            <w:tcBorders>
              <w:top w:val="nil"/>
              <w:left w:val="single" w:color="auto" w:sz="8" w:space="0"/>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b/>
                <w:bCs/>
                <w:color w:val="000000"/>
                <w:kern w:val="0"/>
                <w:sz w:val="22"/>
              </w:rPr>
            </w:pPr>
            <w:r>
              <w:rPr>
                <w:rFonts w:hint="eastAsia" w:ascii="宋体" w:hAnsi="宋体" w:cs="宋体"/>
                <w:b/>
                <w:bCs/>
                <w:color w:val="000000"/>
                <w:kern w:val="0"/>
                <w:sz w:val="22"/>
              </w:rPr>
              <w:t>公司名称</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b/>
                <w:bCs/>
                <w:color w:val="000000"/>
                <w:kern w:val="0"/>
                <w:sz w:val="22"/>
              </w:rPr>
            </w:pPr>
            <w:r>
              <w:rPr>
                <w:rFonts w:hint="eastAsia" w:ascii="宋体" w:hAnsi="宋体" w:cs="宋体"/>
                <w:b/>
                <w:bCs/>
                <w:color w:val="000000"/>
                <w:kern w:val="0"/>
                <w:sz w:val="22"/>
              </w:rPr>
              <w:t>设备数量</w:t>
            </w:r>
          </w:p>
          <w:p>
            <w:pPr>
              <w:widowControl/>
              <w:spacing w:line="480" w:lineRule="exact"/>
              <w:jc w:val="center"/>
              <w:rPr>
                <w:rFonts w:ascii="宋体" w:hAnsi="宋体" w:cs="宋体"/>
                <w:b/>
                <w:bCs/>
                <w:color w:val="000000"/>
                <w:kern w:val="0"/>
                <w:sz w:val="22"/>
              </w:rPr>
            </w:pPr>
            <w:r>
              <w:rPr>
                <w:rFonts w:hint="eastAsia" w:ascii="宋体" w:hAnsi="宋体" w:cs="宋体"/>
                <w:b/>
                <w:bCs/>
                <w:color w:val="000000"/>
                <w:kern w:val="0"/>
                <w:sz w:val="22"/>
              </w:rPr>
              <w:t>（台）</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b/>
                <w:bCs/>
                <w:color w:val="000000"/>
                <w:kern w:val="0"/>
                <w:sz w:val="22"/>
              </w:rPr>
            </w:pPr>
            <w:r>
              <w:rPr>
                <w:rFonts w:hint="eastAsia" w:ascii="宋体" w:hAnsi="宋体" w:cs="宋体"/>
                <w:b/>
                <w:bCs/>
                <w:color w:val="000000"/>
                <w:kern w:val="0"/>
                <w:sz w:val="22"/>
              </w:rPr>
              <w:t>年度检查数量</w:t>
            </w:r>
          </w:p>
          <w:p>
            <w:pPr>
              <w:widowControl/>
              <w:spacing w:line="480" w:lineRule="exact"/>
              <w:jc w:val="center"/>
              <w:rPr>
                <w:rFonts w:ascii="宋体" w:hAnsi="宋体" w:cs="宋体"/>
                <w:b/>
                <w:bCs/>
                <w:color w:val="000000"/>
                <w:kern w:val="0"/>
                <w:sz w:val="22"/>
              </w:rPr>
            </w:pPr>
            <w:r>
              <w:rPr>
                <w:rFonts w:hint="eastAsia" w:ascii="宋体" w:hAnsi="宋体" w:cs="宋体"/>
                <w:b/>
                <w:bCs/>
                <w:color w:val="000000"/>
                <w:kern w:val="0"/>
                <w:sz w:val="22"/>
              </w:rPr>
              <w:t>（台）</w:t>
            </w:r>
          </w:p>
        </w:tc>
        <w:tc>
          <w:tcPr>
            <w:tcW w:w="1134" w:type="dxa"/>
            <w:tcBorders>
              <w:top w:val="nil"/>
              <w:left w:val="nil"/>
              <w:bottom w:val="single" w:color="auto" w:sz="4" w:space="0"/>
              <w:right w:val="single" w:color="auto" w:sz="8" w:space="0"/>
            </w:tcBorders>
            <w:shd w:val="clear" w:color="auto" w:fill="auto"/>
            <w:noWrap/>
            <w:vAlign w:val="center"/>
          </w:tcPr>
          <w:p>
            <w:pPr>
              <w:widowControl/>
              <w:spacing w:line="480" w:lineRule="exact"/>
              <w:jc w:val="center"/>
              <w:rPr>
                <w:rFonts w:ascii="宋体" w:hAnsi="宋体" w:cs="宋体"/>
                <w:b/>
                <w:bCs/>
                <w:color w:val="000000"/>
                <w:kern w:val="0"/>
                <w:sz w:val="22"/>
              </w:rPr>
            </w:pPr>
            <w:r>
              <w:rPr>
                <w:rFonts w:hint="eastAsia" w:ascii="宋体" w:hAnsi="宋体" w:cs="宋体"/>
                <w:b/>
                <w:bCs/>
                <w:color w:val="000000"/>
                <w:kern w:val="0"/>
                <w:sz w:val="22"/>
              </w:rPr>
              <w:t>季度维保数量（台）</w:t>
            </w:r>
          </w:p>
        </w:tc>
        <w:tc>
          <w:tcPr>
            <w:tcW w:w="1275" w:type="dxa"/>
            <w:tcBorders>
              <w:top w:val="nil"/>
              <w:left w:val="nil"/>
              <w:bottom w:val="single" w:color="auto" w:sz="4" w:space="0"/>
              <w:right w:val="single" w:color="auto" w:sz="8" w:space="0"/>
            </w:tcBorders>
          </w:tcPr>
          <w:p>
            <w:pPr>
              <w:widowControl/>
              <w:spacing w:line="480" w:lineRule="exact"/>
              <w:jc w:val="center"/>
              <w:rPr>
                <w:rFonts w:ascii="宋体" w:hAnsi="宋体" w:cs="宋体"/>
                <w:b/>
                <w:bCs/>
                <w:color w:val="000000"/>
                <w:kern w:val="0"/>
                <w:sz w:val="22"/>
              </w:rPr>
            </w:pPr>
            <w:r>
              <w:rPr>
                <w:rFonts w:hint="eastAsia" w:ascii="宋体" w:hAnsi="宋体" w:cs="宋体"/>
                <w:b/>
                <w:bCs/>
                <w:color w:val="000000"/>
                <w:kern w:val="0"/>
                <w:sz w:val="22"/>
              </w:rPr>
              <w:t>月度巡查数量（台）</w:t>
            </w:r>
          </w:p>
        </w:tc>
        <w:tc>
          <w:tcPr>
            <w:tcW w:w="1758" w:type="dxa"/>
            <w:tcBorders>
              <w:top w:val="nil"/>
              <w:left w:val="nil"/>
              <w:bottom w:val="single" w:color="auto" w:sz="4" w:space="0"/>
              <w:right w:val="single" w:color="auto" w:sz="8" w:space="0"/>
            </w:tcBorders>
          </w:tcPr>
          <w:p>
            <w:pPr>
              <w:widowControl/>
              <w:spacing w:line="480" w:lineRule="exact"/>
              <w:jc w:val="center"/>
              <w:rPr>
                <w:rFonts w:ascii="宋体" w:hAnsi="宋体" w:cs="宋体"/>
                <w:b/>
                <w:bCs/>
                <w:color w:val="000000"/>
                <w:kern w:val="0"/>
                <w:sz w:val="22"/>
              </w:rPr>
            </w:pPr>
            <w:r>
              <w:rPr>
                <w:rFonts w:hint="eastAsia" w:ascii="宋体" w:hAnsi="宋体" w:cs="宋体"/>
                <w:b/>
                <w:bCs/>
                <w:color w:val="000000"/>
                <w:kern w:val="0"/>
                <w:sz w:val="22"/>
              </w:rPr>
              <w:t>服务要求</w:t>
            </w:r>
          </w:p>
        </w:tc>
      </w:tr>
      <w:tr>
        <w:tblPrEx>
          <w:tblCellMar>
            <w:top w:w="0" w:type="dxa"/>
            <w:left w:w="108" w:type="dxa"/>
            <w:bottom w:w="0" w:type="dxa"/>
            <w:right w:w="108" w:type="dxa"/>
          </w:tblCellMar>
        </w:tblPrEx>
        <w:trPr>
          <w:trHeight w:val="390" w:hRule="atLeast"/>
        </w:trPr>
        <w:tc>
          <w:tcPr>
            <w:tcW w:w="557" w:type="dxa"/>
            <w:tcBorders>
              <w:top w:val="nil"/>
              <w:left w:val="single" w:color="auto" w:sz="8" w:space="0"/>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1</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猎德分公司</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3</w:t>
            </w:r>
            <w:r>
              <w:rPr>
                <w:rFonts w:ascii="宋体" w:hAnsi="宋体" w:cs="宋体"/>
                <w:color w:val="000000"/>
                <w:kern w:val="0"/>
                <w:sz w:val="22"/>
              </w:rPr>
              <w:t>5</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ascii="宋体" w:hAnsi="宋体" w:cs="宋体"/>
                <w:color w:val="000000"/>
                <w:kern w:val="0"/>
                <w:sz w:val="22"/>
              </w:rPr>
              <w:t>2</w:t>
            </w:r>
          </w:p>
        </w:tc>
        <w:tc>
          <w:tcPr>
            <w:tcW w:w="1134" w:type="dxa"/>
            <w:tcBorders>
              <w:top w:val="nil"/>
              <w:left w:val="nil"/>
              <w:bottom w:val="single" w:color="auto" w:sz="4" w:space="0"/>
              <w:right w:val="single" w:color="auto" w:sz="8" w:space="0"/>
            </w:tcBorders>
            <w:shd w:val="clear" w:color="auto" w:fill="auto"/>
            <w:noWrap/>
            <w:vAlign w:val="bottom"/>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3</w:t>
            </w:r>
            <w:r>
              <w:rPr>
                <w:rFonts w:ascii="宋体" w:hAnsi="宋体" w:cs="宋体"/>
                <w:color w:val="000000"/>
                <w:kern w:val="0"/>
                <w:sz w:val="22"/>
              </w:rPr>
              <w:t>5</w:t>
            </w:r>
          </w:p>
        </w:tc>
        <w:tc>
          <w:tcPr>
            <w:tcW w:w="1275" w:type="dxa"/>
            <w:tcBorders>
              <w:top w:val="nil"/>
              <w:left w:val="nil"/>
              <w:bottom w:val="single" w:color="auto" w:sz="4" w:space="0"/>
              <w:right w:val="single" w:color="auto" w:sz="8" w:space="0"/>
            </w:tcBorders>
            <w:vAlign w:val="bottom"/>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3</w:t>
            </w:r>
            <w:r>
              <w:rPr>
                <w:rFonts w:ascii="宋体" w:hAnsi="宋体" w:cs="宋体"/>
                <w:color w:val="000000"/>
                <w:kern w:val="0"/>
                <w:sz w:val="22"/>
              </w:rPr>
              <w:t>5</w:t>
            </w:r>
          </w:p>
        </w:tc>
        <w:tc>
          <w:tcPr>
            <w:tcW w:w="1758" w:type="dxa"/>
            <w:vMerge w:val="restart"/>
            <w:tcBorders>
              <w:top w:val="nil"/>
              <w:left w:val="nil"/>
              <w:right w:val="single" w:color="auto" w:sz="4" w:space="0"/>
            </w:tcBorders>
          </w:tcPr>
          <w:p>
            <w:pPr>
              <w:widowControl/>
              <w:spacing w:line="480" w:lineRule="exact"/>
              <w:jc w:val="center"/>
              <w:rPr>
                <w:rFonts w:ascii="仿宋" w:hAnsi="仿宋" w:eastAsia="仿宋"/>
                <w:color w:val="000000"/>
                <w:sz w:val="24"/>
                <w:szCs w:val="24"/>
              </w:rPr>
            </w:pPr>
            <w:r>
              <w:rPr>
                <w:rFonts w:hint="eastAsia" w:ascii="仿宋" w:hAnsi="仿宋" w:eastAsia="仿宋"/>
                <w:color w:val="000000"/>
                <w:sz w:val="24"/>
                <w:szCs w:val="24"/>
              </w:rPr>
              <w:t>设备荷载：1-</w:t>
            </w:r>
            <w:r>
              <w:rPr>
                <w:rFonts w:ascii="仿宋" w:hAnsi="仿宋" w:eastAsia="仿宋"/>
                <w:color w:val="000000"/>
                <w:sz w:val="24"/>
                <w:szCs w:val="24"/>
              </w:rPr>
              <w:t>32</w:t>
            </w:r>
            <w:r>
              <w:rPr>
                <w:rFonts w:hint="eastAsia" w:ascii="仿宋" w:hAnsi="仿宋" w:eastAsia="仿宋"/>
                <w:color w:val="000000"/>
                <w:sz w:val="24"/>
                <w:szCs w:val="24"/>
              </w:rPr>
              <w:t>t</w:t>
            </w:r>
          </w:p>
          <w:p>
            <w:pPr>
              <w:widowControl/>
              <w:spacing w:line="480" w:lineRule="exact"/>
              <w:jc w:val="center"/>
              <w:rPr>
                <w:rFonts w:ascii="宋体" w:hAnsi="宋体" w:cs="宋体"/>
                <w:color w:val="000000"/>
                <w:kern w:val="0"/>
                <w:sz w:val="22"/>
              </w:rPr>
            </w:pPr>
            <w:r>
              <w:rPr>
                <w:rFonts w:hint="eastAsia" w:ascii="仿宋" w:hAnsi="仿宋" w:eastAsia="仿宋"/>
                <w:color w:val="000000"/>
                <w:sz w:val="24"/>
                <w:szCs w:val="24"/>
              </w:rPr>
              <w:t>每月安全检查/1次</w:t>
            </w:r>
            <w:r>
              <w:rPr>
                <w:rFonts w:hint="eastAsia" w:ascii="仿宋" w:hAnsi="仿宋" w:eastAsia="仿宋"/>
                <w:color w:val="000000"/>
                <w:sz w:val="24"/>
                <w:szCs w:val="24"/>
              </w:rPr>
              <w:br w:type="textWrapping"/>
            </w:r>
            <w:r>
              <w:rPr>
                <w:rFonts w:hint="eastAsia" w:ascii="仿宋" w:hAnsi="仿宋" w:eastAsia="仿宋"/>
                <w:color w:val="000000"/>
                <w:sz w:val="24"/>
                <w:szCs w:val="24"/>
              </w:rPr>
              <w:t>每季度维保/1次</w:t>
            </w:r>
            <w:r>
              <w:rPr>
                <w:rFonts w:hint="eastAsia" w:ascii="仿宋" w:hAnsi="仿宋" w:eastAsia="仿宋"/>
                <w:color w:val="000000"/>
                <w:sz w:val="24"/>
                <w:szCs w:val="24"/>
              </w:rPr>
              <w:br w:type="textWrapping"/>
            </w:r>
            <w:r>
              <w:rPr>
                <w:rFonts w:hint="eastAsia" w:ascii="仿宋" w:hAnsi="仿宋" w:eastAsia="仿宋"/>
                <w:color w:val="000000"/>
                <w:sz w:val="24"/>
                <w:szCs w:val="24"/>
              </w:rPr>
              <w:t>强检设备年审检测取证服务（含特检院一切费用）/1次</w:t>
            </w:r>
            <w:r>
              <w:rPr>
                <w:rFonts w:ascii="仿宋" w:hAnsi="仿宋" w:eastAsia="仿宋"/>
                <w:color w:val="000000"/>
                <w:sz w:val="24"/>
                <w:szCs w:val="24"/>
              </w:rPr>
              <w:br w:type="textWrapping"/>
            </w:r>
            <w:r>
              <w:rPr>
                <w:rFonts w:ascii="仿宋" w:hAnsi="仿宋" w:eastAsia="仿宋"/>
                <w:color w:val="000000"/>
                <w:sz w:val="24"/>
                <w:szCs w:val="24"/>
              </w:rPr>
              <w:t>非强检设备委托年审检测取证服务</w:t>
            </w:r>
            <w:r>
              <w:rPr>
                <w:rFonts w:hint="eastAsia" w:ascii="仿宋" w:hAnsi="仿宋" w:eastAsia="仿宋"/>
                <w:color w:val="000000"/>
                <w:sz w:val="24"/>
                <w:szCs w:val="24"/>
              </w:rPr>
              <w:t>（含特检院一切费用）/</w:t>
            </w:r>
            <w:r>
              <w:rPr>
                <w:rFonts w:ascii="仿宋" w:hAnsi="仿宋" w:eastAsia="仿宋"/>
                <w:color w:val="000000"/>
                <w:sz w:val="24"/>
                <w:szCs w:val="24"/>
              </w:rPr>
              <w:t>1次</w:t>
            </w:r>
            <w:r>
              <w:rPr>
                <w:rFonts w:hint="eastAsia" w:ascii="仿宋" w:hAnsi="仿宋" w:eastAsia="仿宋"/>
                <w:color w:val="000000"/>
                <w:sz w:val="24"/>
                <w:szCs w:val="24"/>
              </w:rPr>
              <w:br w:type="textWrapping"/>
            </w:r>
            <w:r>
              <w:rPr>
                <w:rFonts w:hint="eastAsia" w:ascii="仿宋" w:hAnsi="仿宋" w:eastAsia="仿宋"/>
                <w:color w:val="000000"/>
                <w:sz w:val="24"/>
                <w:szCs w:val="24"/>
              </w:rPr>
              <w:t>（故障维修，维修材料费另计）</w:t>
            </w:r>
          </w:p>
        </w:tc>
      </w:tr>
      <w:tr>
        <w:tblPrEx>
          <w:tblCellMar>
            <w:top w:w="0" w:type="dxa"/>
            <w:left w:w="108" w:type="dxa"/>
            <w:bottom w:w="0" w:type="dxa"/>
            <w:right w:w="108" w:type="dxa"/>
          </w:tblCellMar>
        </w:tblPrEx>
        <w:trPr>
          <w:trHeight w:val="390" w:hRule="atLeast"/>
        </w:trPr>
        <w:tc>
          <w:tcPr>
            <w:tcW w:w="557" w:type="dxa"/>
            <w:tcBorders>
              <w:top w:val="nil"/>
              <w:left w:val="single" w:color="auto" w:sz="8" w:space="0"/>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2</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大坦沙分公司</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ascii="宋体" w:hAnsi="宋体" w:cs="宋体"/>
                <w:color w:val="000000"/>
                <w:kern w:val="0"/>
                <w:sz w:val="22"/>
              </w:rPr>
              <w:t>48</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ascii="宋体" w:hAnsi="宋体" w:cs="宋体"/>
                <w:color w:val="000000"/>
                <w:kern w:val="0"/>
                <w:sz w:val="22"/>
              </w:rPr>
              <w:t>6</w:t>
            </w:r>
          </w:p>
        </w:tc>
        <w:tc>
          <w:tcPr>
            <w:tcW w:w="1134" w:type="dxa"/>
            <w:tcBorders>
              <w:top w:val="nil"/>
              <w:left w:val="nil"/>
              <w:bottom w:val="single" w:color="auto" w:sz="4" w:space="0"/>
              <w:right w:val="single" w:color="auto" w:sz="8" w:space="0"/>
            </w:tcBorders>
            <w:shd w:val="clear" w:color="auto" w:fill="auto"/>
            <w:noWrap/>
            <w:vAlign w:val="bottom"/>
          </w:tcPr>
          <w:p>
            <w:pPr>
              <w:widowControl/>
              <w:spacing w:line="480" w:lineRule="exact"/>
              <w:jc w:val="center"/>
              <w:rPr>
                <w:rFonts w:ascii="宋体" w:hAnsi="宋体" w:cs="宋体"/>
                <w:color w:val="000000"/>
                <w:kern w:val="0"/>
                <w:sz w:val="22"/>
              </w:rPr>
            </w:pPr>
            <w:r>
              <w:rPr>
                <w:rFonts w:ascii="宋体" w:hAnsi="宋体" w:cs="宋体"/>
                <w:color w:val="000000"/>
                <w:kern w:val="0"/>
                <w:sz w:val="22"/>
              </w:rPr>
              <w:t>48</w:t>
            </w:r>
          </w:p>
        </w:tc>
        <w:tc>
          <w:tcPr>
            <w:tcW w:w="1275" w:type="dxa"/>
            <w:tcBorders>
              <w:top w:val="nil"/>
              <w:left w:val="nil"/>
              <w:bottom w:val="single" w:color="auto" w:sz="4" w:space="0"/>
              <w:right w:val="single" w:color="auto" w:sz="8" w:space="0"/>
            </w:tcBorders>
            <w:vAlign w:val="bottom"/>
          </w:tcPr>
          <w:p>
            <w:pPr>
              <w:widowControl/>
              <w:spacing w:line="480" w:lineRule="exact"/>
              <w:jc w:val="center"/>
              <w:rPr>
                <w:rFonts w:ascii="宋体" w:hAnsi="宋体" w:cs="宋体"/>
                <w:color w:val="000000"/>
                <w:kern w:val="0"/>
                <w:sz w:val="22"/>
              </w:rPr>
            </w:pPr>
            <w:r>
              <w:rPr>
                <w:rFonts w:ascii="宋体" w:hAnsi="宋体" w:cs="宋体"/>
                <w:color w:val="000000"/>
                <w:kern w:val="0"/>
                <w:sz w:val="22"/>
              </w:rPr>
              <w:t>48</w:t>
            </w:r>
          </w:p>
        </w:tc>
        <w:tc>
          <w:tcPr>
            <w:tcW w:w="1758" w:type="dxa"/>
            <w:vMerge w:val="continue"/>
            <w:tcBorders>
              <w:left w:val="nil"/>
              <w:right w:val="single" w:color="auto" w:sz="4" w:space="0"/>
            </w:tcBorders>
          </w:tcPr>
          <w:p>
            <w:pPr>
              <w:widowControl/>
              <w:spacing w:line="480" w:lineRule="exact"/>
              <w:jc w:val="center"/>
              <w:rPr>
                <w:rFonts w:ascii="宋体" w:hAnsi="宋体" w:cs="宋体"/>
                <w:color w:val="000000"/>
                <w:kern w:val="0"/>
                <w:sz w:val="22"/>
              </w:rPr>
            </w:pPr>
          </w:p>
        </w:tc>
      </w:tr>
      <w:tr>
        <w:tblPrEx>
          <w:tblCellMar>
            <w:top w:w="0" w:type="dxa"/>
            <w:left w:w="108" w:type="dxa"/>
            <w:bottom w:w="0" w:type="dxa"/>
            <w:right w:w="108" w:type="dxa"/>
          </w:tblCellMar>
        </w:tblPrEx>
        <w:trPr>
          <w:trHeight w:val="390" w:hRule="atLeast"/>
        </w:trPr>
        <w:tc>
          <w:tcPr>
            <w:tcW w:w="557" w:type="dxa"/>
            <w:tcBorders>
              <w:top w:val="nil"/>
              <w:left w:val="single" w:color="auto" w:sz="8" w:space="0"/>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3</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沥滘分公司</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3</w:t>
            </w:r>
            <w:r>
              <w:rPr>
                <w:rFonts w:ascii="宋体" w:hAnsi="宋体" w:cs="宋体"/>
                <w:color w:val="000000"/>
                <w:kern w:val="0"/>
                <w:sz w:val="22"/>
              </w:rPr>
              <w:t>5</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ascii="宋体" w:hAnsi="宋体" w:cs="宋体"/>
                <w:color w:val="000000"/>
                <w:kern w:val="0"/>
                <w:sz w:val="22"/>
              </w:rPr>
              <w:t>11</w:t>
            </w:r>
          </w:p>
        </w:tc>
        <w:tc>
          <w:tcPr>
            <w:tcW w:w="1134" w:type="dxa"/>
            <w:tcBorders>
              <w:top w:val="nil"/>
              <w:left w:val="nil"/>
              <w:bottom w:val="single" w:color="auto" w:sz="4" w:space="0"/>
              <w:right w:val="single" w:color="auto" w:sz="8" w:space="0"/>
            </w:tcBorders>
            <w:shd w:val="clear" w:color="auto" w:fill="auto"/>
            <w:noWrap/>
            <w:vAlign w:val="bottom"/>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3</w:t>
            </w:r>
            <w:r>
              <w:rPr>
                <w:rFonts w:ascii="宋体" w:hAnsi="宋体" w:cs="宋体"/>
                <w:color w:val="000000"/>
                <w:kern w:val="0"/>
                <w:sz w:val="22"/>
              </w:rPr>
              <w:t>5</w:t>
            </w:r>
          </w:p>
        </w:tc>
        <w:tc>
          <w:tcPr>
            <w:tcW w:w="1275" w:type="dxa"/>
            <w:tcBorders>
              <w:top w:val="nil"/>
              <w:left w:val="nil"/>
              <w:bottom w:val="single" w:color="auto" w:sz="4" w:space="0"/>
              <w:right w:val="single" w:color="auto" w:sz="8" w:space="0"/>
            </w:tcBorders>
            <w:vAlign w:val="bottom"/>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3</w:t>
            </w:r>
            <w:r>
              <w:rPr>
                <w:rFonts w:ascii="宋体" w:hAnsi="宋体" w:cs="宋体"/>
                <w:color w:val="000000"/>
                <w:kern w:val="0"/>
                <w:sz w:val="22"/>
              </w:rPr>
              <w:t>5</w:t>
            </w:r>
          </w:p>
        </w:tc>
        <w:tc>
          <w:tcPr>
            <w:tcW w:w="1758" w:type="dxa"/>
            <w:vMerge w:val="continue"/>
            <w:tcBorders>
              <w:left w:val="nil"/>
              <w:right w:val="single" w:color="auto" w:sz="4" w:space="0"/>
            </w:tcBorders>
          </w:tcPr>
          <w:p>
            <w:pPr>
              <w:widowControl/>
              <w:spacing w:line="480" w:lineRule="exact"/>
              <w:jc w:val="center"/>
              <w:rPr>
                <w:rFonts w:ascii="宋体" w:hAnsi="宋体" w:cs="宋体"/>
                <w:color w:val="000000"/>
                <w:kern w:val="0"/>
                <w:sz w:val="22"/>
              </w:rPr>
            </w:pPr>
          </w:p>
        </w:tc>
      </w:tr>
      <w:tr>
        <w:tblPrEx>
          <w:tblCellMar>
            <w:top w:w="0" w:type="dxa"/>
            <w:left w:w="108" w:type="dxa"/>
            <w:bottom w:w="0" w:type="dxa"/>
            <w:right w:w="108" w:type="dxa"/>
          </w:tblCellMar>
        </w:tblPrEx>
        <w:trPr>
          <w:trHeight w:val="390" w:hRule="atLeast"/>
        </w:trPr>
        <w:tc>
          <w:tcPr>
            <w:tcW w:w="557" w:type="dxa"/>
            <w:tcBorders>
              <w:top w:val="nil"/>
              <w:left w:val="single" w:color="auto" w:sz="8" w:space="0"/>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4</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石井分公司</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9</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8" w:space="0"/>
            </w:tcBorders>
            <w:shd w:val="clear" w:color="auto" w:fill="auto"/>
            <w:noWrap/>
            <w:vAlign w:val="bottom"/>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9</w:t>
            </w:r>
          </w:p>
        </w:tc>
        <w:tc>
          <w:tcPr>
            <w:tcW w:w="1275" w:type="dxa"/>
            <w:tcBorders>
              <w:top w:val="nil"/>
              <w:left w:val="nil"/>
              <w:bottom w:val="single" w:color="auto" w:sz="4" w:space="0"/>
              <w:right w:val="single" w:color="auto" w:sz="8" w:space="0"/>
            </w:tcBorders>
            <w:vAlign w:val="bottom"/>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9</w:t>
            </w:r>
          </w:p>
        </w:tc>
        <w:tc>
          <w:tcPr>
            <w:tcW w:w="1758" w:type="dxa"/>
            <w:vMerge w:val="continue"/>
            <w:tcBorders>
              <w:left w:val="nil"/>
              <w:right w:val="single" w:color="auto" w:sz="4" w:space="0"/>
            </w:tcBorders>
          </w:tcPr>
          <w:p>
            <w:pPr>
              <w:widowControl/>
              <w:spacing w:line="480" w:lineRule="exact"/>
              <w:jc w:val="center"/>
              <w:rPr>
                <w:rFonts w:ascii="宋体" w:hAnsi="宋体" w:cs="宋体"/>
                <w:color w:val="000000"/>
                <w:kern w:val="0"/>
                <w:sz w:val="22"/>
              </w:rPr>
            </w:pPr>
          </w:p>
        </w:tc>
      </w:tr>
      <w:tr>
        <w:tblPrEx>
          <w:tblCellMar>
            <w:top w:w="0" w:type="dxa"/>
            <w:left w:w="108" w:type="dxa"/>
            <w:bottom w:w="0" w:type="dxa"/>
            <w:right w:w="108" w:type="dxa"/>
          </w:tblCellMar>
        </w:tblPrEx>
        <w:trPr>
          <w:trHeight w:val="390" w:hRule="atLeast"/>
        </w:trPr>
        <w:tc>
          <w:tcPr>
            <w:tcW w:w="557" w:type="dxa"/>
            <w:tcBorders>
              <w:top w:val="nil"/>
              <w:left w:val="single" w:color="auto" w:sz="8" w:space="0"/>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5</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石井净水分公司</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1</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nil"/>
              <w:left w:val="nil"/>
              <w:bottom w:val="single" w:color="auto" w:sz="4" w:space="0"/>
              <w:right w:val="single" w:color="auto" w:sz="8"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1</w:t>
            </w:r>
          </w:p>
        </w:tc>
        <w:tc>
          <w:tcPr>
            <w:tcW w:w="1275" w:type="dxa"/>
            <w:tcBorders>
              <w:top w:val="nil"/>
              <w:left w:val="nil"/>
              <w:bottom w:val="single" w:color="auto" w:sz="4" w:space="0"/>
              <w:right w:val="single" w:color="auto" w:sz="8" w:space="0"/>
            </w:tcBorders>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1</w:t>
            </w:r>
          </w:p>
        </w:tc>
        <w:tc>
          <w:tcPr>
            <w:tcW w:w="1758" w:type="dxa"/>
            <w:vMerge w:val="continue"/>
            <w:tcBorders>
              <w:left w:val="nil"/>
              <w:right w:val="single" w:color="auto" w:sz="4" w:space="0"/>
            </w:tcBorders>
          </w:tcPr>
          <w:p>
            <w:pPr>
              <w:widowControl/>
              <w:spacing w:line="480" w:lineRule="exact"/>
              <w:jc w:val="center"/>
              <w:rPr>
                <w:rFonts w:ascii="宋体" w:hAnsi="宋体" w:cs="宋体"/>
                <w:color w:val="000000"/>
                <w:kern w:val="0"/>
                <w:sz w:val="22"/>
              </w:rPr>
            </w:pPr>
          </w:p>
        </w:tc>
      </w:tr>
      <w:tr>
        <w:tblPrEx>
          <w:tblCellMar>
            <w:top w:w="0" w:type="dxa"/>
            <w:left w:w="108" w:type="dxa"/>
            <w:bottom w:w="0" w:type="dxa"/>
            <w:right w:w="108" w:type="dxa"/>
          </w:tblCellMar>
        </w:tblPrEx>
        <w:trPr>
          <w:trHeight w:val="390" w:hRule="atLeast"/>
        </w:trPr>
        <w:tc>
          <w:tcPr>
            <w:tcW w:w="557" w:type="dxa"/>
            <w:tcBorders>
              <w:top w:val="nil"/>
              <w:left w:val="single" w:color="auto" w:sz="8" w:space="0"/>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6</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京溪分公司</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7</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ascii="宋体" w:hAnsi="宋体" w:cs="宋体"/>
                <w:color w:val="000000"/>
                <w:kern w:val="0"/>
                <w:sz w:val="22"/>
              </w:rPr>
              <w:t>7</w:t>
            </w:r>
          </w:p>
        </w:tc>
        <w:tc>
          <w:tcPr>
            <w:tcW w:w="1134" w:type="dxa"/>
            <w:tcBorders>
              <w:top w:val="nil"/>
              <w:left w:val="nil"/>
              <w:bottom w:val="single" w:color="auto" w:sz="4" w:space="0"/>
              <w:right w:val="single" w:color="auto" w:sz="8" w:space="0"/>
            </w:tcBorders>
            <w:shd w:val="clear" w:color="auto" w:fill="auto"/>
            <w:noWrap/>
            <w:vAlign w:val="bottom"/>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7</w:t>
            </w:r>
          </w:p>
        </w:tc>
        <w:tc>
          <w:tcPr>
            <w:tcW w:w="1275" w:type="dxa"/>
            <w:tcBorders>
              <w:top w:val="nil"/>
              <w:left w:val="nil"/>
              <w:bottom w:val="single" w:color="auto" w:sz="4" w:space="0"/>
              <w:right w:val="single" w:color="auto" w:sz="8" w:space="0"/>
            </w:tcBorders>
            <w:vAlign w:val="bottom"/>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7</w:t>
            </w:r>
          </w:p>
        </w:tc>
        <w:tc>
          <w:tcPr>
            <w:tcW w:w="1758" w:type="dxa"/>
            <w:vMerge w:val="continue"/>
            <w:tcBorders>
              <w:left w:val="nil"/>
              <w:right w:val="single" w:color="auto" w:sz="4" w:space="0"/>
            </w:tcBorders>
          </w:tcPr>
          <w:p>
            <w:pPr>
              <w:widowControl/>
              <w:spacing w:line="480" w:lineRule="exact"/>
              <w:jc w:val="center"/>
              <w:rPr>
                <w:rFonts w:ascii="宋体" w:hAnsi="宋体" w:cs="宋体"/>
                <w:color w:val="000000"/>
                <w:kern w:val="0"/>
                <w:sz w:val="22"/>
              </w:rPr>
            </w:pPr>
          </w:p>
        </w:tc>
      </w:tr>
      <w:tr>
        <w:tblPrEx>
          <w:tblCellMar>
            <w:top w:w="0" w:type="dxa"/>
            <w:left w:w="108" w:type="dxa"/>
            <w:bottom w:w="0" w:type="dxa"/>
            <w:right w:w="108" w:type="dxa"/>
          </w:tblCellMar>
        </w:tblPrEx>
        <w:trPr>
          <w:trHeight w:val="390" w:hRule="atLeast"/>
        </w:trPr>
        <w:tc>
          <w:tcPr>
            <w:tcW w:w="557" w:type="dxa"/>
            <w:tcBorders>
              <w:top w:val="nil"/>
              <w:left w:val="single" w:color="auto" w:sz="8" w:space="0"/>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7</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龙归分公司</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ascii="宋体" w:hAnsi="宋体" w:cs="宋体"/>
                <w:color w:val="000000"/>
                <w:kern w:val="0"/>
                <w:sz w:val="22"/>
              </w:rPr>
              <w:t>39</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ascii="宋体" w:hAnsi="宋体" w:cs="宋体"/>
                <w:color w:val="000000"/>
                <w:kern w:val="0"/>
                <w:sz w:val="22"/>
              </w:rPr>
              <w:t>20</w:t>
            </w:r>
          </w:p>
        </w:tc>
        <w:tc>
          <w:tcPr>
            <w:tcW w:w="1134" w:type="dxa"/>
            <w:tcBorders>
              <w:top w:val="nil"/>
              <w:left w:val="nil"/>
              <w:bottom w:val="single" w:color="auto" w:sz="4" w:space="0"/>
              <w:right w:val="single" w:color="auto" w:sz="8" w:space="0"/>
            </w:tcBorders>
            <w:shd w:val="clear" w:color="auto" w:fill="auto"/>
            <w:noWrap/>
            <w:vAlign w:val="bottom"/>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3</w:t>
            </w:r>
            <w:r>
              <w:rPr>
                <w:rFonts w:ascii="宋体" w:hAnsi="宋体" w:cs="宋体"/>
                <w:color w:val="000000"/>
                <w:kern w:val="0"/>
                <w:sz w:val="22"/>
              </w:rPr>
              <w:t>9</w:t>
            </w:r>
          </w:p>
        </w:tc>
        <w:tc>
          <w:tcPr>
            <w:tcW w:w="1275" w:type="dxa"/>
            <w:tcBorders>
              <w:top w:val="nil"/>
              <w:left w:val="nil"/>
              <w:bottom w:val="single" w:color="auto" w:sz="4" w:space="0"/>
              <w:right w:val="single" w:color="auto" w:sz="8" w:space="0"/>
            </w:tcBorders>
            <w:vAlign w:val="bottom"/>
          </w:tcPr>
          <w:p>
            <w:pPr>
              <w:widowControl/>
              <w:spacing w:line="480" w:lineRule="exact"/>
              <w:jc w:val="center"/>
              <w:rPr>
                <w:rFonts w:ascii="宋体" w:hAnsi="宋体" w:cs="宋体"/>
                <w:color w:val="000000"/>
                <w:kern w:val="0"/>
                <w:sz w:val="22"/>
              </w:rPr>
            </w:pPr>
            <w:r>
              <w:rPr>
                <w:rFonts w:ascii="宋体" w:hAnsi="宋体" w:cs="宋体"/>
                <w:color w:val="000000"/>
                <w:kern w:val="0"/>
                <w:sz w:val="22"/>
              </w:rPr>
              <w:t>39</w:t>
            </w:r>
          </w:p>
        </w:tc>
        <w:tc>
          <w:tcPr>
            <w:tcW w:w="1758" w:type="dxa"/>
            <w:vMerge w:val="continue"/>
            <w:tcBorders>
              <w:left w:val="nil"/>
              <w:right w:val="single" w:color="auto" w:sz="4" w:space="0"/>
            </w:tcBorders>
          </w:tcPr>
          <w:p>
            <w:pPr>
              <w:widowControl/>
              <w:spacing w:line="480" w:lineRule="exact"/>
              <w:jc w:val="center"/>
              <w:rPr>
                <w:rFonts w:ascii="宋体" w:hAnsi="宋体" w:cs="宋体"/>
                <w:color w:val="000000"/>
                <w:kern w:val="0"/>
                <w:sz w:val="22"/>
              </w:rPr>
            </w:pPr>
          </w:p>
        </w:tc>
      </w:tr>
      <w:tr>
        <w:tblPrEx>
          <w:tblCellMar>
            <w:top w:w="0" w:type="dxa"/>
            <w:left w:w="108" w:type="dxa"/>
            <w:bottom w:w="0" w:type="dxa"/>
            <w:right w:w="108" w:type="dxa"/>
          </w:tblCellMar>
        </w:tblPrEx>
        <w:trPr>
          <w:trHeight w:val="390" w:hRule="atLeast"/>
        </w:trPr>
        <w:tc>
          <w:tcPr>
            <w:tcW w:w="55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8</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竹料分公司</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1</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single" w:color="auto" w:sz="4" w:space="0"/>
              <w:left w:val="nil"/>
              <w:bottom w:val="single" w:color="auto" w:sz="4" w:space="0"/>
              <w:right w:val="single" w:color="auto" w:sz="8" w:space="0"/>
            </w:tcBorders>
            <w:shd w:val="clear" w:color="auto" w:fill="auto"/>
            <w:noWrap/>
            <w:vAlign w:val="bottom"/>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1</w:t>
            </w:r>
          </w:p>
        </w:tc>
        <w:tc>
          <w:tcPr>
            <w:tcW w:w="1275" w:type="dxa"/>
            <w:tcBorders>
              <w:top w:val="single" w:color="auto" w:sz="4" w:space="0"/>
              <w:left w:val="nil"/>
              <w:bottom w:val="single" w:color="auto" w:sz="4" w:space="0"/>
              <w:right w:val="single" w:color="auto" w:sz="8" w:space="0"/>
            </w:tcBorders>
            <w:vAlign w:val="bottom"/>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1</w:t>
            </w:r>
          </w:p>
        </w:tc>
        <w:tc>
          <w:tcPr>
            <w:tcW w:w="1758" w:type="dxa"/>
            <w:vMerge w:val="continue"/>
            <w:tcBorders>
              <w:left w:val="nil"/>
              <w:right w:val="single" w:color="auto" w:sz="4" w:space="0"/>
            </w:tcBorders>
          </w:tcPr>
          <w:p>
            <w:pPr>
              <w:widowControl/>
              <w:spacing w:line="480" w:lineRule="exact"/>
              <w:jc w:val="center"/>
              <w:rPr>
                <w:rFonts w:ascii="宋体" w:hAnsi="宋体" w:cs="宋体"/>
                <w:color w:val="000000"/>
                <w:kern w:val="0"/>
                <w:sz w:val="22"/>
              </w:rPr>
            </w:pPr>
          </w:p>
        </w:tc>
      </w:tr>
      <w:tr>
        <w:tblPrEx>
          <w:tblCellMar>
            <w:top w:w="0" w:type="dxa"/>
            <w:left w:w="108" w:type="dxa"/>
            <w:bottom w:w="0" w:type="dxa"/>
            <w:right w:w="108" w:type="dxa"/>
          </w:tblCellMar>
        </w:tblPrEx>
        <w:trPr>
          <w:trHeight w:val="390" w:hRule="atLeast"/>
        </w:trPr>
        <w:tc>
          <w:tcPr>
            <w:tcW w:w="55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9</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大沙地分公司</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ascii="宋体" w:hAnsi="宋体" w:cs="宋体"/>
                <w:color w:val="000000"/>
                <w:kern w:val="0"/>
                <w:sz w:val="22"/>
              </w:rPr>
              <w:t>36</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single" w:color="auto" w:sz="4" w:space="0"/>
              <w:left w:val="nil"/>
              <w:bottom w:val="single" w:color="auto" w:sz="4" w:space="0"/>
              <w:right w:val="single" w:color="auto" w:sz="8" w:space="0"/>
            </w:tcBorders>
            <w:shd w:val="clear" w:color="auto" w:fill="auto"/>
            <w:noWrap/>
            <w:vAlign w:val="bottom"/>
          </w:tcPr>
          <w:p>
            <w:pPr>
              <w:widowControl/>
              <w:spacing w:line="480" w:lineRule="exact"/>
              <w:jc w:val="center"/>
              <w:rPr>
                <w:rFonts w:ascii="宋体" w:hAnsi="宋体" w:cs="宋体"/>
                <w:color w:val="000000"/>
                <w:kern w:val="0"/>
                <w:sz w:val="22"/>
              </w:rPr>
            </w:pPr>
            <w:r>
              <w:rPr>
                <w:rFonts w:ascii="宋体" w:hAnsi="宋体" w:cs="宋体"/>
                <w:color w:val="000000"/>
                <w:kern w:val="0"/>
                <w:sz w:val="22"/>
              </w:rPr>
              <w:t>36</w:t>
            </w:r>
          </w:p>
        </w:tc>
        <w:tc>
          <w:tcPr>
            <w:tcW w:w="1275" w:type="dxa"/>
            <w:tcBorders>
              <w:top w:val="single" w:color="auto" w:sz="4" w:space="0"/>
              <w:left w:val="nil"/>
              <w:bottom w:val="single" w:color="auto" w:sz="4" w:space="0"/>
              <w:right w:val="single" w:color="auto" w:sz="8" w:space="0"/>
            </w:tcBorders>
            <w:vAlign w:val="bottom"/>
          </w:tcPr>
          <w:p>
            <w:pPr>
              <w:widowControl/>
              <w:spacing w:line="480" w:lineRule="exact"/>
              <w:jc w:val="center"/>
              <w:rPr>
                <w:rFonts w:ascii="宋体" w:hAnsi="宋体" w:cs="宋体"/>
                <w:color w:val="000000"/>
                <w:kern w:val="0"/>
                <w:sz w:val="22"/>
              </w:rPr>
            </w:pPr>
            <w:r>
              <w:rPr>
                <w:rFonts w:ascii="宋体" w:hAnsi="宋体" w:cs="宋体"/>
                <w:color w:val="000000"/>
                <w:kern w:val="0"/>
                <w:sz w:val="22"/>
              </w:rPr>
              <w:t>36</w:t>
            </w:r>
          </w:p>
        </w:tc>
        <w:tc>
          <w:tcPr>
            <w:tcW w:w="1758" w:type="dxa"/>
            <w:vMerge w:val="continue"/>
            <w:tcBorders>
              <w:left w:val="nil"/>
              <w:right w:val="single" w:color="auto" w:sz="4" w:space="0"/>
            </w:tcBorders>
          </w:tcPr>
          <w:p>
            <w:pPr>
              <w:widowControl/>
              <w:spacing w:line="480" w:lineRule="exact"/>
              <w:jc w:val="center"/>
              <w:rPr>
                <w:rFonts w:ascii="宋体" w:hAnsi="宋体" w:cs="宋体"/>
                <w:color w:val="000000"/>
                <w:kern w:val="0"/>
                <w:sz w:val="22"/>
              </w:rPr>
            </w:pPr>
          </w:p>
        </w:tc>
      </w:tr>
      <w:tr>
        <w:tblPrEx>
          <w:tblCellMar>
            <w:top w:w="0" w:type="dxa"/>
            <w:left w:w="108" w:type="dxa"/>
            <w:bottom w:w="0" w:type="dxa"/>
            <w:right w:w="108" w:type="dxa"/>
          </w:tblCellMar>
        </w:tblPrEx>
        <w:trPr>
          <w:trHeight w:val="390" w:hRule="atLeast"/>
        </w:trPr>
        <w:tc>
          <w:tcPr>
            <w:tcW w:w="55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健康城分公司</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7</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0</w:t>
            </w:r>
          </w:p>
        </w:tc>
        <w:tc>
          <w:tcPr>
            <w:tcW w:w="1134" w:type="dxa"/>
            <w:tcBorders>
              <w:top w:val="single" w:color="auto" w:sz="4" w:space="0"/>
              <w:left w:val="nil"/>
              <w:bottom w:val="single" w:color="auto" w:sz="4" w:space="0"/>
              <w:right w:val="single" w:color="auto" w:sz="8" w:space="0"/>
            </w:tcBorders>
            <w:shd w:val="clear" w:color="auto" w:fill="auto"/>
            <w:noWrap/>
            <w:vAlign w:val="bottom"/>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7</w:t>
            </w:r>
          </w:p>
        </w:tc>
        <w:tc>
          <w:tcPr>
            <w:tcW w:w="1275" w:type="dxa"/>
            <w:tcBorders>
              <w:top w:val="single" w:color="auto" w:sz="4" w:space="0"/>
              <w:left w:val="nil"/>
              <w:bottom w:val="single" w:color="auto" w:sz="4" w:space="0"/>
              <w:right w:val="single" w:color="auto" w:sz="8" w:space="0"/>
            </w:tcBorders>
            <w:vAlign w:val="bottom"/>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7</w:t>
            </w:r>
          </w:p>
        </w:tc>
        <w:tc>
          <w:tcPr>
            <w:tcW w:w="1758" w:type="dxa"/>
            <w:vMerge w:val="continue"/>
            <w:tcBorders>
              <w:left w:val="nil"/>
              <w:right w:val="single" w:color="auto" w:sz="4" w:space="0"/>
            </w:tcBorders>
          </w:tcPr>
          <w:p>
            <w:pPr>
              <w:widowControl/>
              <w:spacing w:line="480" w:lineRule="exact"/>
              <w:jc w:val="center"/>
              <w:rPr>
                <w:rFonts w:ascii="宋体" w:hAnsi="宋体" w:cs="宋体"/>
                <w:color w:val="000000"/>
                <w:kern w:val="0"/>
                <w:sz w:val="22"/>
              </w:rPr>
            </w:pPr>
          </w:p>
        </w:tc>
      </w:tr>
      <w:tr>
        <w:tblPrEx>
          <w:tblCellMar>
            <w:top w:w="0" w:type="dxa"/>
            <w:left w:w="108" w:type="dxa"/>
            <w:bottom w:w="0" w:type="dxa"/>
            <w:right w:w="108" w:type="dxa"/>
          </w:tblCellMar>
        </w:tblPrEx>
        <w:trPr>
          <w:trHeight w:val="390" w:hRule="atLeast"/>
        </w:trPr>
        <w:tc>
          <w:tcPr>
            <w:tcW w:w="55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1</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大观分公司</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4</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ascii="宋体" w:hAnsi="宋体" w:cs="宋体"/>
                <w:color w:val="000000"/>
                <w:kern w:val="0"/>
                <w:sz w:val="22"/>
              </w:rPr>
              <w:t>0</w:t>
            </w:r>
          </w:p>
        </w:tc>
        <w:tc>
          <w:tcPr>
            <w:tcW w:w="1134" w:type="dxa"/>
            <w:tcBorders>
              <w:top w:val="single" w:color="auto" w:sz="4" w:space="0"/>
              <w:left w:val="nil"/>
              <w:bottom w:val="single" w:color="auto" w:sz="4" w:space="0"/>
              <w:right w:val="single" w:color="auto" w:sz="8" w:space="0"/>
            </w:tcBorders>
            <w:shd w:val="clear" w:color="auto" w:fill="auto"/>
            <w:noWrap/>
            <w:vAlign w:val="bottom"/>
          </w:tcPr>
          <w:p>
            <w:pPr>
              <w:widowControl/>
              <w:spacing w:line="480" w:lineRule="exact"/>
              <w:jc w:val="center"/>
              <w:rPr>
                <w:rFonts w:ascii="宋体" w:hAnsi="宋体" w:cs="宋体"/>
                <w:color w:val="000000"/>
                <w:kern w:val="0"/>
                <w:sz w:val="22"/>
              </w:rPr>
            </w:pPr>
            <w:r>
              <w:rPr>
                <w:rFonts w:ascii="宋体" w:hAnsi="宋体" w:cs="宋体"/>
                <w:color w:val="000000"/>
                <w:kern w:val="0"/>
                <w:sz w:val="22"/>
              </w:rPr>
              <w:t>14</w:t>
            </w:r>
          </w:p>
        </w:tc>
        <w:tc>
          <w:tcPr>
            <w:tcW w:w="1275" w:type="dxa"/>
            <w:tcBorders>
              <w:top w:val="single" w:color="auto" w:sz="4" w:space="0"/>
              <w:left w:val="nil"/>
              <w:bottom w:val="single" w:color="auto" w:sz="4" w:space="0"/>
              <w:right w:val="single" w:color="auto" w:sz="8" w:space="0"/>
            </w:tcBorders>
            <w:vAlign w:val="bottom"/>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4</w:t>
            </w:r>
          </w:p>
        </w:tc>
        <w:tc>
          <w:tcPr>
            <w:tcW w:w="1758" w:type="dxa"/>
            <w:vMerge w:val="continue"/>
            <w:tcBorders>
              <w:left w:val="nil"/>
              <w:right w:val="single" w:color="auto" w:sz="4" w:space="0"/>
            </w:tcBorders>
          </w:tcPr>
          <w:p>
            <w:pPr>
              <w:widowControl/>
              <w:spacing w:line="480" w:lineRule="exact"/>
              <w:jc w:val="center"/>
              <w:rPr>
                <w:rFonts w:ascii="宋体" w:hAnsi="宋体" w:cs="宋体"/>
                <w:color w:val="000000"/>
                <w:kern w:val="0"/>
                <w:sz w:val="22"/>
              </w:rPr>
            </w:pPr>
          </w:p>
        </w:tc>
      </w:tr>
      <w:tr>
        <w:tblPrEx>
          <w:tblCellMar>
            <w:top w:w="0" w:type="dxa"/>
            <w:left w:w="108" w:type="dxa"/>
            <w:bottom w:w="0" w:type="dxa"/>
            <w:right w:w="108" w:type="dxa"/>
          </w:tblCellMar>
        </w:tblPrEx>
        <w:trPr>
          <w:trHeight w:val="390" w:hRule="atLeast"/>
        </w:trPr>
        <w:tc>
          <w:tcPr>
            <w:tcW w:w="55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2</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江高分公司</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1</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ascii="宋体" w:hAnsi="宋体" w:cs="宋体"/>
                <w:color w:val="000000"/>
                <w:kern w:val="0"/>
                <w:sz w:val="22"/>
              </w:rPr>
              <w:t>0</w:t>
            </w:r>
          </w:p>
        </w:tc>
        <w:tc>
          <w:tcPr>
            <w:tcW w:w="1134" w:type="dxa"/>
            <w:tcBorders>
              <w:top w:val="single" w:color="auto" w:sz="4" w:space="0"/>
              <w:left w:val="nil"/>
              <w:bottom w:val="single" w:color="auto" w:sz="4" w:space="0"/>
              <w:right w:val="single" w:color="auto" w:sz="8" w:space="0"/>
            </w:tcBorders>
            <w:shd w:val="clear" w:color="auto" w:fill="auto"/>
            <w:noWrap/>
            <w:vAlign w:val="bottom"/>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1</w:t>
            </w:r>
          </w:p>
        </w:tc>
        <w:tc>
          <w:tcPr>
            <w:tcW w:w="1275" w:type="dxa"/>
            <w:tcBorders>
              <w:top w:val="single" w:color="auto" w:sz="4" w:space="0"/>
              <w:left w:val="nil"/>
              <w:bottom w:val="single" w:color="auto" w:sz="4" w:space="0"/>
              <w:right w:val="single" w:color="auto" w:sz="8" w:space="0"/>
            </w:tcBorders>
            <w:vAlign w:val="bottom"/>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1</w:t>
            </w:r>
          </w:p>
        </w:tc>
        <w:tc>
          <w:tcPr>
            <w:tcW w:w="1758" w:type="dxa"/>
            <w:vMerge w:val="continue"/>
            <w:tcBorders>
              <w:left w:val="nil"/>
              <w:right w:val="single" w:color="auto" w:sz="4" w:space="0"/>
            </w:tcBorders>
          </w:tcPr>
          <w:p>
            <w:pPr>
              <w:widowControl/>
              <w:spacing w:line="480" w:lineRule="exact"/>
              <w:jc w:val="center"/>
              <w:rPr>
                <w:rFonts w:ascii="宋体" w:hAnsi="宋体" w:cs="宋体"/>
                <w:color w:val="000000"/>
                <w:kern w:val="0"/>
                <w:sz w:val="22"/>
              </w:rPr>
            </w:pPr>
          </w:p>
        </w:tc>
      </w:tr>
      <w:tr>
        <w:tblPrEx>
          <w:tblCellMar>
            <w:top w:w="0" w:type="dxa"/>
            <w:left w:w="108" w:type="dxa"/>
            <w:bottom w:w="0" w:type="dxa"/>
            <w:right w:w="108" w:type="dxa"/>
          </w:tblCellMar>
        </w:tblPrEx>
        <w:trPr>
          <w:trHeight w:val="390" w:hRule="atLeast"/>
        </w:trPr>
        <w:tc>
          <w:tcPr>
            <w:tcW w:w="55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3</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西朗二期</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3</w:t>
            </w:r>
            <w:r>
              <w:rPr>
                <w:rFonts w:ascii="宋体" w:hAnsi="宋体" w:cs="宋体"/>
                <w:color w:val="000000"/>
                <w:kern w:val="0"/>
                <w:sz w:val="22"/>
              </w:rPr>
              <w:t>4</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3</w:t>
            </w:r>
            <w:r>
              <w:rPr>
                <w:rFonts w:ascii="宋体" w:hAnsi="宋体" w:cs="宋体"/>
                <w:color w:val="000000"/>
                <w:kern w:val="0"/>
                <w:sz w:val="22"/>
              </w:rPr>
              <w:t>4</w:t>
            </w:r>
          </w:p>
        </w:tc>
        <w:tc>
          <w:tcPr>
            <w:tcW w:w="1134" w:type="dxa"/>
            <w:tcBorders>
              <w:top w:val="single" w:color="auto" w:sz="4" w:space="0"/>
              <w:left w:val="nil"/>
              <w:bottom w:val="single" w:color="auto" w:sz="4" w:space="0"/>
              <w:right w:val="single" w:color="auto" w:sz="8" w:space="0"/>
            </w:tcBorders>
            <w:shd w:val="clear" w:color="auto" w:fill="auto"/>
            <w:noWrap/>
            <w:vAlign w:val="bottom"/>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3</w:t>
            </w:r>
            <w:r>
              <w:rPr>
                <w:rFonts w:ascii="宋体" w:hAnsi="宋体" w:cs="宋体"/>
                <w:color w:val="000000"/>
                <w:kern w:val="0"/>
                <w:sz w:val="22"/>
              </w:rPr>
              <w:t>4</w:t>
            </w:r>
          </w:p>
        </w:tc>
        <w:tc>
          <w:tcPr>
            <w:tcW w:w="1275" w:type="dxa"/>
            <w:tcBorders>
              <w:top w:val="single" w:color="auto" w:sz="4" w:space="0"/>
              <w:left w:val="nil"/>
              <w:bottom w:val="single" w:color="auto" w:sz="4" w:space="0"/>
              <w:right w:val="single" w:color="auto" w:sz="8" w:space="0"/>
            </w:tcBorders>
            <w:vAlign w:val="bottom"/>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3</w:t>
            </w:r>
            <w:r>
              <w:rPr>
                <w:rFonts w:ascii="宋体" w:hAnsi="宋体" w:cs="宋体"/>
                <w:color w:val="000000"/>
                <w:kern w:val="0"/>
                <w:sz w:val="22"/>
              </w:rPr>
              <w:t>4</w:t>
            </w:r>
          </w:p>
        </w:tc>
        <w:tc>
          <w:tcPr>
            <w:tcW w:w="1758" w:type="dxa"/>
            <w:vMerge w:val="continue"/>
            <w:tcBorders>
              <w:left w:val="nil"/>
              <w:right w:val="single" w:color="auto" w:sz="4" w:space="0"/>
            </w:tcBorders>
          </w:tcPr>
          <w:p>
            <w:pPr>
              <w:widowControl/>
              <w:spacing w:line="480" w:lineRule="exact"/>
              <w:jc w:val="center"/>
              <w:rPr>
                <w:rFonts w:ascii="宋体" w:hAnsi="宋体" w:cs="宋体"/>
                <w:color w:val="000000"/>
                <w:kern w:val="0"/>
                <w:sz w:val="22"/>
              </w:rPr>
            </w:pPr>
          </w:p>
        </w:tc>
      </w:tr>
      <w:tr>
        <w:tblPrEx>
          <w:tblCellMar>
            <w:top w:w="0" w:type="dxa"/>
            <w:left w:w="108" w:type="dxa"/>
            <w:bottom w:w="0" w:type="dxa"/>
            <w:right w:w="108" w:type="dxa"/>
          </w:tblCellMar>
        </w:tblPrEx>
        <w:trPr>
          <w:trHeight w:val="390" w:hRule="atLeast"/>
        </w:trPr>
        <w:tc>
          <w:tcPr>
            <w:tcW w:w="2258" w:type="dxa"/>
            <w:gridSpan w:val="2"/>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汇总合计</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3</w:t>
            </w:r>
            <w:r>
              <w:rPr>
                <w:rFonts w:ascii="宋体" w:hAnsi="宋体" w:cs="宋体"/>
                <w:color w:val="000000"/>
                <w:kern w:val="0"/>
                <w:sz w:val="22"/>
              </w:rPr>
              <w:t>37</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8</w:t>
            </w:r>
            <w:r>
              <w:rPr>
                <w:rFonts w:ascii="宋体" w:hAnsi="宋体" w:cs="宋体"/>
                <w:color w:val="000000"/>
                <w:kern w:val="0"/>
                <w:sz w:val="22"/>
              </w:rPr>
              <w:t>3</w:t>
            </w:r>
          </w:p>
        </w:tc>
        <w:tc>
          <w:tcPr>
            <w:tcW w:w="1134" w:type="dxa"/>
            <w:tcBorders>
              <w:top w:val="single" w:color="auto" w:sz="4" w:space="0"/>
              <w:left w:val="nil"/>
              <w:bottom w:val="single" w:color="auto" w:sz="4" w:space="0"/>
              <w:right w:val="single" w:color="auto" w:sz="8" w:space="0"/>
            </w:tcBorders>
            <w:shd w:val="clear" w:color="auto" w:fill="auto"/>
            <w:noWrap/>
            <w:vAlign w:val="center"/>
          </w:tcPr>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337</w:t>
            </w:r>
          </w:p>
        </w:tc>
        <w:tc>
          <w:tcPr>
            <w:tcW w:w="1275" w:type="dxa"/>
            <w:tcBorders>
              <w:top w:val="single" w:color="auto" w:sz="4" w:space="0"/>
              <w:left w:val="nil"/>
              <w:bottom w:val="single" w:color="auto" w:sz="4" w:space="0"/>
              <w:right w:val="single" w:color="auto" w:sz="8" w:space="0"/>
            </w:tcBorders>
            <w:vAlign w:val="center"/>
          </w:tcPr>
          <w:p>
            <w:pPr>
              <w:widowControl/>
              <w:spacing w:line="480" w:lineRule="exact"/>
              <w:jc w:val="center"/>
              <w:rPr>
                <w:rFonts w:ascii="宋体" w:hAnsi="宋体" w:cs="宋体"/>
                <w:color w:val="000000"/>
                <w:kern w:val="0"/>
                <w:sz w:val="22"/>
              </w:rPr>
            </w:pPr>
          </w:p>
          <w:p>
            <w:pPr>
              <w:widowControl/>
              <w:spacing w:line="480" w:lineRule="exact"/>
              <w:jc w:val="center"/>
              <w:rPr>
                <w:rFonts w:ascii="宋体" w:hAnsi="宋体" w:cs="宋体"/>
                <w:color w:val="000000"/>
                <w:kern w:val="0"/>
                <w:sz w:val="22"/>
              </w:rPr>
            </w:pPr>
            <w:r>
              <w:rPr>
                <w:rFonts w:hint="eastAsia" w:ascii="宋体" w:hAnsi="宋体" w:cs="宋体"/>
                <w:color w:val="000000"/>
                <w:kern w:val="0"/>
                <w:sz w:val="22"/>
              </w:rPr>
              <w:t>337</w:t>
            </w:r>
          </w:p>
          <w:p>
            <w:pPr>
              <w:widowControl/>
              <w:spacing w:line="480" w:lineRule="exact"/>
              <w:jc w:val="center"/>
              <w:rPr>
                <w:rFonts w:ascii="宋体" w:hAnsi="宋体" w:cs="宋体"/>
                <w:color w:val="000000"/>
                <w:kern w:val="0"/>
                <w:sz w:val="22"/>
              </w:rPr>
            </w:pPr>
          </w:p>
        </w:tc>
        <w:tc>
          <w:tcPr>
            <w:tcW w:w="1758" w:type="dxa"/>
            <w:vMerge w:val="continue"/>
            <w:tcBorders>
              <w:left w:val="nil"/>
              <w:bottom w:val="single" w:color="auto" w:sz="4" w:space="0"/>
              <w:right w:val="single" w:color="auto" w:sz="4" w:space="0"/>
            </w:tcBorders>
          </w:tcPr>
          <w:p>
            <w:pPr>
              <w:widowControl/>
              <w:spacing w:line="480" w:lineRule="exact"/>
              <w:jc w:val="center"/>
              <w:rPr>
                <w:rFonts w:ascii="宋体" w:hAnsi="宋体" w:cs="宋体"/>
                <w:color w:val="000000"/>
                <w:kern w:val="0"/>
                <w:sz w:val="22"/>
              </w:rPr>
            </w:pPr>
          </w:p>
        </w:tc>
      </w:tr>
    </w:tbl>
    <w:p>
      <w:pPr>
        <w:pStyle w:val="9"/>
        <w:adjustRightInd w:val="0"/>
        <w:snapToGrid w:val="0"/>
        <w:spacing w:line="300" w:lineRule="auto"/>
        <w:ind w:left="600"/>
        <w:rPr>
          <w:rFonts w:ascii="仿宋" w:hAnsi="仿宋" w:eastAsia="仿宋" w:cs="仿宋_GB2312"/>
          <w:b/>
          <w:sz w:val="28"/>
          <w:szCs w:val="28"/>
          <w:lang w:val="zh-CN"/>
        </w:rPr>
      </w:pPr>
    </w:p>
    <w:p>
      <w:pPr>
        <w:pStyle w:val="9"/>
        <w:numPr>
          <w:ilvl w:val="0"/>
          <w:numId w:val="2"/>
        </w:numPr>
        <w:adjustRightInd w:val="0"/>
        <w:snapToGrid w:val="0"/>
        <w:spacing w:line="360" w:lineRule="auto"/>
        <w:ind w:firstLine="562" w:firstLineChars="200"/>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9"/>
        <w:adjustRightInd w:val="0"/>
        <w:snapToGrid w:val="0"/>
        <w:spacing w:line="360" w:lineRule="auto"/>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符合《中华人民共和国特种设备安全法》、《特种设备安全监察条例》与起重机相关的最新法规、规范及广州市特种设备安全检验研究院的起重机首检、定期检验规定及如下规则：《起重机械定期检验规则》TSG Q7015-2016；《起重机械安装改造重大修理监督检验规则》TSG Q7016-2016;《通用桥式起重机》GB/T 14405-2011等。</w:t>
      </w:r>
    </w:p>
    <w:p>
      <w:pPr>
        <w:pStyle w:val="9"/>
        <w:adjustRightInd w:val="0"/>
        <w:snapToGrid w:val="0"/>
        <w:spacing w:line="360" w:lineRule="auto"/>
        <w:ind w:firstLine="562" w:firstLineChars="200"/>
        <w:rPr>
          <w:rFonts w:ascii="仿宋" w:hAnsi="仿宋" w:eastAsia="仿宋" w:cs="仿宋_GB2312"/>
          <w:b/>
          <w:sz w:val="28"/>
          <w:szCs w:val="28"/>
          <w:lang w:val="zh-CN"/>
        </w:rPr>
      </w:pPr>
    </w:p>
    <w:p>
      <w:pPr>
        <w:pStyle w:val="9"/>
        <w:adjustRightInd w:val="0"/>
        <w:snapToGrid w:val="0"/>
        <w:spacing w:line="360" w:lineRule="auto"/>
        <w:ind w:firstLine="562" w:firstLineChars="200"/>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spacing w:line="360" w:lineRule="auto"/>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1.服务期：自双方签订合同为期1年</w:t>
      </w:r>
    </w:p>
    <w:p>
      <w:pPr>
        <w:autoSpaceDE w:val="0"/>
        <w:autoSpaceDN w:val="0"/>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lang w:val="zh-CN"/>
        </w:rPr>
        <w:t>2.质量要求：</w:t>
      </w:r>
      <w:r>
        <w:rPr>
          <w:rFonts w:hint="eastAsia" w:ascii="仿宋" w:hAnsi="仿宋" w:eastAsia="仿宋" w:cs="仿宋_GB2312"/>
          <w:sz w:val="28"/>
          <w:szCs w:val="28"/>
        </w:rPr>
        <w:t>项目实施内容及要求，必须</w:t>
      </w:r>
      <w:r>
        <w:rPr>
          <w:rFonts w:hint="eastAsia" w:ascii="仿宋" w:hAnsi="仿宋" w:eastAsia="仿宋"/>
          <w:color w:val="000000"/>
          <w:sz w:val="28"/>
          <w:szCs w:val="28"/>
        </w:rPr>
        <w:t>按国家标准、行业标准、检定规程、设备技术要求等规定对</w:t>
      </w:r>
      <w:r>
        <w:rPr>
          <w:rFonts w:hint="eastAsia" w:ascii="仿宋" w:hAnsi="仿宋" w:eastAsia="仿宋"/>
          <w:color w:val="000000"/>
          <w:kern w:val="4"/>
          <w:sz w:val="28"/>
          <w:szCs w:val="28"/>
        </w:rPr>
        <w:t>设备</w:t>
      </w:r>
      <w:r>
        <w:rPr>
          <w:rFonts w:hint="eastAsia" w:ascii="仿宋" w:hAnsi="仿宋" w:eastAsia="仿宋"/>
          <w:color w:val="000000"/>
          <w:sz w:val="28"/>
          <w:szCs w:val="28"/>
        </w:rPr>
        <w:t>进行安全检查、维保等服务，确保</w:t>
      </w:r>
      <w:r>
        <w:rPr>
          <w:rFonts w:hint="eastAsia" w:ascii="仿宋" w:hAnsi="仿宋" w:eastAsia="仿宋"/>
          <w:color w:val="000000"/>
          <w:kern w:val="4"/>
          <w:sz w:val="28"/>
          <w:szCs w:val="28"/>
        </w:rPr>
        <w:t>设备使用的</w:t>
      </w:r>
      <w:r>
        <w:rPr>
          <w:rFonts w:hint="eastAsia" w:ascii="仿宋" w:hAnsi="仿宋" w:eastAsia="仿宋"/>
          <w:color w:val="000000"/>
          <w:sz w:val="28"/>
          <w:szCs w:val="28"/>
        </w:rPr>
        <w:t>正常、安全。</w:t>
      </w:r>
    </w:p>
    <w:p>
      <w:pPr>
        <w:autoSpaceDE w:val="0"/>
        <w:autoSpaceDN w:val="0"/>
        <w:spacing w:line="360" w:lineRule="auto"/>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3.付款方式：采用支票、网银支付两种形式</w:t>
      </w:r>
    </w:p>
    <w:p>
      <w:pPr>
        <w:tabs>
          <w:tab w:val="center" w:pos="5156"/>
        </w:tabs>
        <w:autoSpaceDE w:val="0"/>
        <w:autoSpaceDN w:val="0"/>
        <w:spacing w:line="360" w:lineRule="auto"/>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4.承包方式：综合单价包干</w:t>
      </w:r>
    </w:p>
    <w:p>
      <w:pPr>
        <w:tabs>
          <w:tab w:val="center" w:pos="5156"/>
        </w:tabs>
        <w:autoSpaceDE w:val="0"/>
        <w:autoSpaceDN w:val="0"/>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5.报价文件编制格式按分公司为单位分项报价。</w:t>
      </w:r>
      <w:r>
        <w:rPr>
          <w:rFonts w:ascii="仿宋" w:hAnsi="仿宋" w:eastAsia="仿宋" w:cs="仿宋_GB2312"/>
          <w:sz w:val="28"/>
          <w:szCs w:val="28"/>
        </w:rPr>
        <w:tab/>
      </w:r>
    </w:p>
    <w:p>
      <w:pPr>
        <w:widowControl/>
        <w:spacing w:line="560" w:lineRule="exact"/>
        <w:ind w:firstLine="560" w:firstLineChars="200"/>
        <w:jc w:val="left"/>
        <w:rPr>
          <w:rFonts w:ascii="仿宋_GB2312" w:hAnsi="宋体" w:eastAsia="仿宋_GB2312"/>
          <w:sz w:val="28"/>
          <w:szCs w:val="28"/>
        </w:rPr>
      </w:pPr>
    </w:p>
    <w:p>
      <w:pPr>
        <w:widowControl/>
        <w:spacing w:line="560" w:lineRule="exact"/>
        <w:ind w:firstLine="560" w:firstLineChars="200"/>
        <w:jc w:val="left"/>
        <w:rPr>
          <w:rFonts w:ascii="仿宋_GB2312" w:hAnsi="仿宋_GB2312" w:eastAsia="仿宋_GB2312" w:cs="仿宋_GB2312"/>
          <w:sz w:val="28"/>
          <w:szCs w:val="28"/>
          <w:u w:val="single"/>
        </w:rPr>
      </w:pPr>
    </w:p>
    <w:p>
      <w:pPr>
        <w:widowControl/>
        <w:jc w:val="left"/>
        <w:rPr>
          <w:rFonts w:ascii="仿宋_GB2312" w:hAnsi="宋体" w:eastAsia="仿宋_GB2312"/>
          <w:sz w:val="28"/>
          <w:szCs w:val="28"/>
        </w:rPr>
      </w:pPr>
      <w:r>
        <w:rPr>
          <w:rFonts w:ascii="仿宋_GB2312" w:hAnsi="宋体" w:eastAsia="仿宋_GB2312"/>
          <w:sz w:val="28"/>
          <w:szCs w:val="28"/>
        </w:rPr>
        <w:br w:type="page"/>
      </w:r>
    </w:p>
    <w:p>
      <w:pPr>
        <w:pStyle w:val="9"/>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9"/>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9"/>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9"/>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７.3询价文件的修改或澄清将以书面形式通知所有获取询价文件的报价单位，并对其具有约束力。</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7.4询价人可以视询价具体情况，延长递交询价响应文件截止时间，并将变更时间以书面形式通知所有询价文件收受人。</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7.5 书面形式包括但不限于以纸质、电子邮件、门户网站信息公告等以电子数据交换的形式。</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三、询价响应文件的编制和数量</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9"/>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9"/>
        <w:adjustRightInd w:val="0"/>
        <w:snapToGrid w:val="0"/>
        <w:spacing w:line="300" w:lineRule="auto"/>
        <w:ind w:left="420" w:hanging="420"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9"/>
        <w:adjustRightInd w:val="0"/>
        <w:snapToGrid w:val="0"/>
        <w:spacing w:line="300" w:lineRule="auto"/>
        <w:rPr>
          <w:rFonts w:hint="eastAsia" w:ascii="仿宋" w:hAnsi="仿宋" w:eastAsia="仿宋" w:cs="仿宋_GB2312"/>
          <w:color w:val="auto"/>
          <w:sz w:val="28"/>
          <w:szCs w:val="28"/>
          <w:highlight w:val="none"/>
          <w:u w:val="none"/>
        </w:rPr>
      </w:pPr>
      <w:bookmarkStart w:id="12" w:name="_GoBack"/>
      <w:r>
        <w:rPr>
          <w:rFonts w:hint="eastAsia" w:ascii="仿宋" w:hAnsi="仿宋" w:eastAsia="仿宋" w:cs="仿宋_GB2312"/>
          <w:color w:val="auto"/>
          <w:sz w:val="28"/>
          <w:szCs w:val="28"/>
          <w:highlight w:val="none"/>
          <w:u w:val="none"/>
          <w:lang w:val="en-US" w:eastAsia="zh-CN"/>
        </w:rPr>
        <w:t>12.4报价人不得存在以下情形之一</w:t>
      </w:r>
      <w:r>
        <w:rPr>
          <w:rFonts w:hint="eastAsia" w:ascii="仿宋" w:hAnsi="仿宋" w:eastAsia="仿宋" w:cs="仿宋_GB2312"/>
          <w:color w:val="auto"/>
          <w:sz w:val="28"/>
          <w:szCs w:val="28"/>
          <w:highlight w:val="none"/>
          <w:u w:val="none"/>
        </w:rPr>
        <w:t>：</w:t>
      </w:r>
    </w:p>
    <w:p>
      <w:pPr>
        <w:pStyle w:val="9"/>
        <w:adjustRightInd w:val="0"/>
        <w:snapToGrid w:val="0"/>
        <w:spacing w:line="300" w:lineRule="auto"/>
        <w:ind w:firstLine="280" w:firstLineChars="10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（1）与询价人存在利害关系且可能影响询价公正性；</w:t>
      </w:r>
    </w:p>
    <w:p>
      <w:pPr>
        <w:pStyle w:val="9"/>
        <w:adjustRightInd w:val="0"/>
        <w:snapToGrid w:val="0"/>
        <w:spacing w:line="300" w:lineRule="auto"/>
        <w:ind w:firstLine="280" w:firstLineChars="10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（2）与本询价项目的其他报价人为同一个单位负责人；</w:t>
      </w:r>
    </w:p>
    <w:p>
      <w:pPr>
        <w:pStyle w:val="9"/>
        <w:adjustRightInd w:val="0"/>
        <w:snapToGrid w:val="0"/>
        <w:spacing w:line="300" w:lineRule="auto"/>
        <w:ind w:firstLine="280" w:firstLineChars="10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（3）与本询价项目的其他报价人存在控股、管理关系；</w:t>
      </w:r>
    </w:p>
    <w:p>
      <w:pPr>
        <w:pStyle w:val="9"/>
        <w:adjustRightInd w:val="0"/>
        <w:snapToGrid w:val="0"/>
        <w:spacing w:line="300" w:lineRule="auto"/>
        <w:ind w:firstLine="280" w:firstLineChars="10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（4）为本询价项目提供过设计、编制技术规范和其他文件的咨询服务；</w:t>
      </w:r>
    </w:p>
    <w:p>
      <w:pPr>
        <w:pStyle w:val="9"/>
        <w:adjustRightInd w:val="0"/>
        <w:snapToGrid w:val="0"/>
        <w:spacing w:line="300" w:lineRule="auto"/>
        <w:ind w:firstLine="280" w:firstLineChars="10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（5）被依法暂停或者取消投标资格；</w:t>
      </w:r>
    </w:p>
    <w:p>
      <w:pPr>
        <w:pStyle w:val="9"/>
        <w:adjustRightInd w:val="0"/>
        <w:snapToGrid w:val="0"/>
        <w:spacing w:line="300" w:lineRule="auto"/>
        <w:ind w:firstLine="280" w:firstLineChars="10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（6）被责令停产停业、暂扣或者吊销许可证、暂扣或者吊销执照；</w:t>
      </w:r>
    </w:p>
    <w:p>
      <w:pPr>
        <w:pStyle w:val="9"/>
        <w:adjustRightInd w:val="0"/>
        <w:snapToGrid w:val="0"/>
        <w:spacing w:line="300" w:lineRule="auto"/>
        <w:ind w:firstLine="280" w:firstLineChars="10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（7）进入清算程序，或被宣告破产，或其他丧失履约能力的情形；</w:t>
      </w:r>
    </w:p>
    <w:p>
      <w:pPr>
        <w:pStyle w:val="9"/>
        <w:adjustRightInd w:val="0"/>
        <w:snapToGrid w:val="0"/>
        <w:spacing w:line="300" w:lineRule="auto"/>
        <w:ind w:firstLine="280" w:firstLineChars="10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（8）在最近三年内发生重大产品质量问题；</w:t>
      </w:r>
    </w:p>
    <w:p>
      <w:pPr>
        <w:pStyle w:val="9"/>
        <w:adjustRightInd w:val="0"/>
        <w:snapToGrid w:val="0"/>
        <w:spacing w:line="300" w:lineRule="auto"/>
        <w:ind w:firstLine="280" w:firstLineChars="10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（9）被工商行政管理机关在全国企业信用信息公示系统中列入严重违法失信企业名单；</w:t>
      </w:r>
    </w:p>
    <w:p>
      <w:pPr>
        <w:pStyle w:val="9"/>
        <w:adjustRightInd w:val="0"/>
        <w:snapToGrid w:val="0"/>
        <w:spacing w:line="300" w:lineRule="auto"/>
        <w:ind w:firstLine="280" w:firstLineChars="10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（10）被纳入失信联合惩戒名单（具体名单以递交报价文件截止时间“信用广州”公布的“失信黑名单”为准）；</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auto"/>
          <w:sz w:val="28"/>
          <w:szCs w:val="28"/>
          <w:highlight w:val="none"/>
          <w:u w:val="none"/>
        </w:rPr>
        <w:t>（11）本项目截止时间前的半年中，在</w:t>
      </w:r>
      <w:r>
        <w:rPr>
          <w:rFonts w:hint="eastAsia" w:ascii="仿宋" w:hAnsi="仿宋" w:eastAsia="仿宋" w:cs="仿宋_GB2312"/>
          <w:color w:val="auto"/>
          <w:sz w:val="28"/>
          <w:szCs w:val="28"/>
          <w:highlight w:val="none"/>
          <w:u w:val="none"/>
          <w:lang w:val="en-US" w:eastAsia="zh-CN"/>
        </w:rPr>
        <w:t>询价</w:t>
      </w:r>
      <w:r>
        <w:rPr>
          <w:rFonts w:hint="eastAsia" w:ascii="仿宋" w:hAnsi="仿宋" w:eastAsia="仿宋" w:cs="仿宋_GB2312"/>
          <w:color w:val="auto"/>
          <w:sz w:val="28"/>
          <w:szCs w:val="28"/>
          <w:highlight w:val="none"/>
          <w:u w:val="none"/>
        </w:rPr>
        <w:t>人组织的招标</w:t>
      </w:r>
      <w:r>
        <w:rPr>
          <w:rFonts w:hint="eastAsia" w:ascii="仿宋" w:hAnsi="仿宋" w:eastAsia="仿宋" w:cs="仿宋_GB2312"/>
          <w:color w:val="auto"/>
          <w:sz w:val="28"/>
          <w:szCs w:val="28"/>
          <w:highlight w:val="none"/>
          <w:u w:val="none"/>
          <w:lang w:eastAsia="zh-CN"/>
        </w:rPr>
        <w:t>、</w:t>
      </w:r>
      <w:r>
        <w:rPr>
          <w:rFonts w:hint="eastAsia" w:ascii="仿宋" w:hAnsi="仿宋" w:eastAsia="仿宋" w:cs="仿宋_GB2312"/>
          <w:color w:val="auto"/>
          <w:sz w:val="28"/>
          <w:szCs w:val="28"/>
          <w:highlight w:val="none"/>
          <w:u w:val="none"/>
          <w:lang w:val="en-US" w:eastAsia="zh-CN"/>
        </w:rPr>
        <w:t>询价</w:t>
      </w:r>
      <w:r>
        <w:rPr>
          <w:rFonts w:hint="eastAsia" w:ascii="仿宋" w:hAnsi="仿宋" w:eastAsia="仿宋" w:cs="仿宋_GB2312"/>
          <w:color w:val="auto"/>
          <w:sz w:val="28"/>
          <w:szCs w:val="28"/>
          <w:highlight w:val="none"/>
          <w:u w:val="none"/>
        </w:rPr>
        <w:t>活动中有被查实提供虚假投标材料的。</w:t>
      </w:r>
      <w:bookmarkEnd w:id="12"/>
    </w:p>
    <w:p>
      <w:pPr>
        <w:pStyle w:val="9"/>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9"/>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w:t>
      </w:r>
      <w:r>
        <w:rPr>
          <w:rFonts w:hint="eastAsia" w:ascii="仿宋" w:hAnsi="仿宋" w:eastAsia="仿宋" w:cs="仿宋_GB2312"/>
          <w:kern w:val="0"/>
          <w:sz w:val="28"/>
          <w:szCs w:val="28"/>
        </w:rPr>
        <w:t>本项目不接受联合体参加报价。</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询价</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w:t>
      </w:r>
      <w:r>
        <w:rPr>
          <w:rFonts w:hint="eastAsia" w:ascii="仿宋" w:hAnsi="仿宋" w:eastAsia="仿宋" w:cs="仿宋_GB2312"/>
          <w:color w:val="000000" w:themeColor="text1"/>
          <w:kern w:val="0"/>
          <w:sz w:val="28"/>
          <w:szCs w:val="28"/>
          <w:u w:val="single"/>
          <w14:textFill>
            <w14:solidFill>
              <w14:schemeClr w14:val="tx1"/>
            </w14:solidFill>
          </w14:textFill>
        </w:rPr>
        <w:t>一</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9"/>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9"/>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9"/>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9"/>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r>
        <w:rPr>
          <w:rFonts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3"/>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如果报价单位认为询价文件或询价过程或询价结果使其权益受到损害的，可向询价人提出书面质疑。询价人应在规定时间内给与答复。</w:t>
      </w:r>
    </w:p>
    <w:p>
      <w:pPr>
        <w:widowControl/>
        <w:jc w:val="left"/>
        <w:rPr>
          <w:sz w:val="28"/>
          <w:szCs w:val="28"/>
        </w:rPr>
      </w:pPr>
      <w:r>
        <w:rPr>
          <w:sz w:val="28"/>
          <w:szCs w:val="28"/>
        </w:rPr>
        <w:br w:type="page"/>
      </w:r>
    </w:p>
    <w:p>
      <w:pPr>
        <w:pStyle w:val="4"/>
      </w:pPr>
      <w:bookmarkStart w:id="0" w:name="_Toc152042358"/>
      <w:bookmarkStart w:id="1" w:name="_Toc371433002"/>
      <w:bookmarkStart w:id="2" w:name="_Toc179632599"/>
      <w:bookmarkStart w:id="3" w:name="_Toc247085739"/>
      <w:bookmarkStart w:id="4" w:name="_Toc152045581"/>
      <w:bookmarkStart w:id="5" w:name="_Toc144974548"/>
      <w:r>
        <w:rPr>
          <w:rFonts w:hint="eastAsia"/>
        </w:rPr>
        <w:t>附件一报价记录表</w:t>
      </w:r>
      <w:bookmarkEnd w:id="0"/>
      <w:bookmarkEnd w:id="1"/>
      <w:bookmarkEnd w:id="2"/>
      <w:bookmarkEnd w:id="3"/>
      <w:bookmarkEnd w:id="4"/>
      <w:bookmarkEnd w:id="5"/>
    </w:p>
    <w:p>
      <w:pPr>
        <w:spacing w:line="400" w:lineRule="exact"/>
        <w:jc w:val="center"/>
        <w:rPr>
          <w:rFonts w:ascii="仿宋" w:hAnsi="仿宋" w:eastAsia="仿宋" w:cs="仿宋_GB2312"/>
          <w:bCs/>
          <w:color w:val="000000"/>
          <w:sz w:val="28"/>
          <w:szCs w:val="28"/>
          <w:u w:val="single"/>
        </w:rPr>
      </w:pPr>
      <w:r>
        <w:rPr>
          <w:rFonts w:hint="eastAsia" w:ascii="仿宋" w:hAnsi="仿宋" w:eastAsia="仿宋" w:cs="宋体"/>
          <w:kern w:val="0"/>
          <w:sz w:val="28"/>
          <w:szCs w:val="28"/>
          <w:u w:val="single"/>
        </w:rPr>
        <w:t>2</w:t>
      </w:r>
      <w:r>
        <w:rPr>
          <w:rFonts w:ascii="仿宋" w:hAnsi="仿宋" w:eastAsia="仿宋" w:cs="宋体"/>
          <w:kern w:val="0"/>
          <w:sz w:val="28"/>
          <w:szCs w:val="28"/>
          <w:u w:val="single"/>
        </w:rPr>
        <w:t>021年广州</w:t>
      </w:r>
      <w:r>
        <w:rPr>
          <w:rFonts w:hint="eastAsia" w:ascii="仿宋" w:hAnsi="仿宋" w:eastAsia="仿宋" w:cs="宋体"/>
          <w:kern w:val="0"/>
          <w:sz w:val="28"/>
          <w:szCs w:val="28"/>
          <w:u w:val="single"/>
        </w:rPr>
        <w:t>市</w:t>
      </w:r>
      <w:r>
        <w:rPr>
          <w:rFonts w:ascii="仿宋" w:hAnsi="仿宋" w:eastAsia="仿宋" w:cs="宋体"/>
          <w:kern w:val="0"/>
          <w:sz w:val="28"/>
          <w:szCs w:val="28"/>
          <w:u w:val="single"/>
        </w:rPr>
        <w:t>净水</w:t>
      </w:r>
      <w:r>
        <w:rPr>
          <w:rFonts w:hint="eastAsia" w:ascii="仿宋" w:hAnsi="仿宋" w:eastAsia="仿宋" w:cs="宋体"/>
          <w:kern w:val="0"/>
          <w:sz w:val="28"/>
          <w:szCs w:val="28"/>
          <w:u w:val="single"/>
        </w:rPr>
        <w:t>有限</w:t>
      </w:r>
      <w:r>
        <w:rPr>
          <w:rFonts w:ascii="仿宋" w:hAnsi="仿宋" w:eastAsia="仿宋" w:cs="宋体"/>
          <w:kern w:val="0"/>
          <w:sz w:val="28"/>
          <w:szCs w:val="28"/>
          <w:u w:val="single"/>
        </w:rPr>
        <w:t>公司起重设备维保维修及检测服务项目</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jc w:val="center"/>
        <w:rPr>
          <w:rFonts w:ascii="仿宋" w:hAnsi="仿宋" w:eastAsia="仿宋" w:cs="仿宋_GB2312"/>
          <w:color w:val="000000"/>
        </w:rPr>
      </w:pPr>
      <w:r>
        <w:rPr>
          <w:rFonts w:hint="eastAsia" w:ascii="仿宋" w:hAnsi="仿宋" w:eastAsia="仿宋" w:cs="仿宋_GB2312"/>
          <w:color w:val="000000"/>
          <w:szCs w:val="21"/>
        </w:rPr>
        <w:t>报价文件开启时间： 年 月 日 时 分</w:t>
      </w:r>
    </w:p>
    <w:tbl>
      <w:tblPr>
        <w:tblStyle w:val="18"/>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经办人：               记录人：          </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400" w:lineRule="exact"/>
        <w:jc w:val="center"/>
        <w:rPr>
          <w:rFonts w:ascii="仿宋" w:hAnsi="仿宋" w:eastAsia="仿宋" w:cs="仿宋_GB2312"/>
          <w:bCs/>
          <w:color w:val="000000"/>
          <w:sz w:val="28"/>
          <w:szCs w:val="28"/>
          <w:u w:val="single"/>
        </w:rPr>
      </w:pPr>
      <w:r>
        <w:rPr>
          <w:rFonts w:hint="eastAsia" w:ascii="仿宋" w:hAnsi="仿宋" w:eastAsia="仿宋"/>
          <w:color w:val="000000"/>
          <w:sz w:val="24"/>
        </w:rPr>
        <w:t>项目名称:</w:t>
      </w:r>
      <w:r>
        <w:rPr>
          <w:rFonts w:hint="eastAsia" w:ascii="仿宋" w:hAnsi="仿宋" w:eastAsia="仿宋" w:cs="宋体"/>
          <w:kern w:val="0"/>
          <w:sz w:val="28"/>
          <w:szCs w:val="28"/>
        </w:rPr>
        <w:t xml:space="preserve"> 2</w:t>
      </w:r>
      <w:r>
        <w:rPr>
          <w:rFonts w:ascii="仿宋" w:hAnsi="仿宋" w:eastAsia="仿宋" w:cs="宋体"/>
          <w:kern w:val="0"/>
          <w:sz w:val="28"/>
          <w:szCs w:val="28"/>
        </w:rPr>
        <w:t>021年广州</w:t>
      </w:r>
      <w:r>
        <w:rPr>
          <w:rFonts w:hint="eastAsia" w:ascii="仿宋" w:hAnsi="仿宋" w:eastAsia="仿宋" w:cs="宋体"/>
          <w:kern w:val="0"/>
          <w:sz w:val="28"/>
          <w:szCs w:val="28"/>
        </w:rPr>
        <w:t>市</w:t>
      </w:r>
      <w:r>
        <w:rPr>
          <w:rFonts w:ascii="仿宋" w:hAnsi="仿宋" w:eastAsia="仿宋" w:cs="宋体"/>
          <w:kern w:val="0"/>
          <w:sz w:val="28"/>
          <w:szCs w:val="28"/>
        </w:rPr>
        <w:t>净水</w:t>
      </w:r>
      <w:r>
        <w:rPr>
          <w:rFonts w:hint="eastAsia" w:ascii="仿宋" w:hAnsi="仿宋" w:eastAsia="仿宋" w:cs="宋体"/>
          <w:kern w:val="0"/>
          <w:sz w:val="28"/>
          <w:szCs w:val="28"/>
        </w:rPr>
        <w:t>有限</w:t>
      </w:r>
      <w:r>
        <w:rPr>
          <w:rFonts w:ascii="仿宋" w:hAnsi="仿宋" w:eastAsia="仿宋" w:cs="宋体"/>
          <w:kern w:val="0"/>
          <w:sz w:val="28"/>
          <w:szCs w:val="28"/>
        </w:rPr>
        <w:t>公司起重设备维保维修及检测服务项目</w:t>
      </w:r>
    </w:p>
    <w:tbl>
      <w:tblPr>
        <w:tblStyle w:val="18"/>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000000"/>
                <w:sz w:val="24"/>
              </w:rPr>
            </w:pPr>
            <w:r>
              <w:rPr>
                <w:rFonts w:hint="eastAsia" w:ascii="宋体" w:hAnsi="宋体"/>
                <w:sz w:val="24"/>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4"/>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ascii="仿宋" w:hAnsi="仿宋" w:eastAsia="仿宋" w:cs="STSong-Light"/>
          <w:b/>
          <w:color w:val="000000" w:themeColor="text1"/>
          <w:kern w:val="0"/>
          <w:sz w:val="32"/>
          <w:szCs w:val="32"/>
          <w14:textFill>
            <w14:solidFill>
              <w14:schemeClr w14:val="tx1"/>
            </w14:solidFill>
          </w14:textFill>
        </w:rPr>
        <w:t>（询价文件号）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14:textFill>
            <w14:solidFill>
              <w14:schemeClr w14:val="tx1"/>
            </w14:solidFill>
          </w14:textFill>
        </w:rPr>
        <w:t>2021年广州市净水有限公司</w:t>
      </w:r>
      <w:r>
        <w:rPr>
          <w:rFonts w:hint="eastAsia" w:ascii="仿宋" w:hAnsi="仿宋" w:eastAsia="仿宋" w:cs="STSong-Light"/>
          <w:color w:val="000000" w:themeColor="text1"/>
          <w:kern w:val="0"/>
          <w:sz w:val="32"/>
          <w:szCs w:val="32"/>
          <w:lang w:val="en-US" w:eastAsia="zh-CN"/>
          <w14:textFill>
            <w14:solidFill>
              <w14:schemeClr w14:val="tx1"/>
            </w14:solidFill>
          </w14:textFill>
        </w:rPr>
        <w:t>起重设备维保维修及检测服务项目</w:t>
      </w:r>
      <w:r>
        <w:rPr>
          <w:rFonts w:hint="eastAsia" w:ascii="仿宋" w:hAnsi="仿宋" w:eastAsia="仿宋" w:cs="STSong-Light"/>
          <w:color w:val="000000" w:themeColor="text1"/>
          <w:kern w:val="0"/>
          <w:sz w:val="32"/>
          <w:szCs w:val="32"/>
          <w14:textFill>
            <w14:solidFill>
              <w14:schemeClr w14:val="tx1"/>
            </w14:solidFill>
          </w14:textFill>
        </w:rPr>
        <w:t>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17"/>
      </w:pPr>
      <w:r>
        <w:rPr>
          <w:rFonts w:hint="eastAsia"/>
        </w:rPr>
        <w:t>第四部分 合同书格式</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400" w:lineRule="atLeast"/>
        <w:jc w:val="center"/>
        <w:rPr>
          <w:rFonts w:ascii="宋体" w:hAnsi="宋体"/>
          <w:b/>
          <w:sz w:val="48"/>
          <w:szCs w:val="48"/>
        </w:rPr>
      </w:pPr>
      <w:r>
        <w:rPr>
          <w:rFonts w:hint="eastAsia" w:ascii="宋体" w:hAnsi="宋体"/>
          <w:b/>
          <w:sz w:val="48"/>
          <w:szCs w:val="48"/>
        </w:rPr>
        <w:t>广州市净水有限公司</w:t>
      </w:r>
    </w:p>
    <w:p>
      <w:pPr>
        <w:spacing w:line="400" w:lineRule="atLeast"/>
        <w:jc w:val="center"/>
        <w:rPr>
          <w:rFonts w:ascii="宋体" w:hAnsi="宋体"/>
          <w:b/>
          <w:sz w:val="48"/>
          <w:szCs w:val="48"/>
        </w:rPr>
      </w:pPr>
      <w:r>
        <w:rPr>
          <w:rFonts w:hint="eastAsia" w:ascii="宋体" w:hAnsi="宋体"/>
          <w:b/>
          <w:sz w:val="48"/>
          <w:szCs w:val="48"/>
        </w:rPr>
        <w:t>2</w:t>
      </w:r>
      <w:r>
        <w:rPr>
          <w:rFonts w:ascii="宋体" w:hAnsi="宋体"/>
          <w:b/>
          <w:sz w:val="48"/>
          <w:szCs w:val="48"/>
        </w:rPr>
        <w:t>021</w:t>
      </w:r>
      <w:r>
        <w:rPr>
          <w:rFonts w:hint="eastAsia" w:ascii="宋体" w:hAnsi="宋体"/>
          <w:b/>
          <w:sz w:val="48"/>
          <w:szCs w:val="48"/>
        </w:rPr>
        <w:t>年起重设备维保维修及检测服务合同</w:t>
      </w:r>
    </w:p>
    <w:p>
      <w:pPr>
        <w:spacing w:after="160" w:line="480" w:lineRule="auto"/>
        <w:jc w:val="center"/>
        <w:rPr>
          <w:rFonts w:ascii="宋体" w:hAnsi="宋体" w:cs="宋体"/>
          <w:sz w:val="30"/>
          <w:szCs w:val="30"/>
        </w:rPr>
      </w:pPr>
    </w:p>
    <w:p>
      <w:pPr>
        <w:spacing w:after="160" w:line="480" w:lineRule="auto"/>
        <w:jc w:val="center"/>
        <w:rPr>
          <w:rFonts w:ascii="宋体" w:hAnsi="宋体" w:cs="宋体"/>
          <w:sz w:val="30"/>
          <w:szCs w:val="30"/>
        </w:rPr>
      </w:pPr>
    </w:p>
    <w:p>
      <w:pPr>
        <w:spacing w:line="400" w:lineRule="exact"/>
        <w:jc w:val="center"/>
        <w:rPr>
          <w:rFonts w:ascii="仿宋" w:hAnsi="仿宋" w:eastAsia="仿宋" w:cs="仿宋_GB2312"/>
          <w:bCs/>
          <w:color w:val="000000"/>
          <w:sz w:val="28"/>
          <w:szCs w:val="28"/>
        </w:rPr>
      </w:pPr>
      <w:r>
        <w:rPr>
          <w:rFonts w:hint="eastAsia" w:ascii="宋体" w:hAnsi="宋体" w:cs="宋体"/>
          <w:b/>
          <w:bCs/>
          <w:sz w:val="30"/>
          <w:szCs w:val="30"/>
        </w:rPr>
        <w:t>项目名称：</w:t>
      </w:r>
      <w:r>
        <w:rPr>
          <w:rFonts w:hint="eastAsia" w:ascii="仿宋" w:hAnsi="仿宋" w:eastAsia="仿宋" w:cs="宋体"/>
          <w:kern w:val="0"/>
          <w:sz w:val="28"/>
          <w:szCs w:val="28"/>
        </w:rPr>
        <w:t>2</w:t>
      </w:r>
      <w:r>
        <w:rPr>
          <w:rFonts w:ascii="仿宋" w:hAnsi="仿宋" w:eastAsia="仿宋" w:cs="宋体"/>
          <w:kern w:val="0"/>
          <w:sz w:val="28"/>
          <w:szCs w:val="28"/>
        </w:rPr>
        <w:t>021年广州净水公司起重设备维保维修及检测服务项目</w:t>
      </w:r>
    </w:p>
    <w:p>
      <w:pPr>
        <w:spacing w:after="160" w:line="480" w:lineRule="auto"/>
        <w:rPr>
          <w:rFonts w:ascii="宋体" w:hAnsi="宋体" w:cs="宋体"/>
          <w:b/>
          <w:bCs/>
          <w:sz w:val="30"/>
        </w:rPr>
      </w:pPr>
    </w:p>
    <w:p>
      <w:pPr>
        <w:spacing w:after="160"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穗净水合[     ]    号</w:t>
      </w:r>
    </w:p>
    <w:p>
      <w:pPr>
        <w:pStyle w:val="24"/>
      </w:pPr>
      <w:r>
        <w:rPr>
          <w:rFonts w:hint="eastAsia" w:hAnsi="宋体"/>
          <w:b/>
          <w:bCs/>
          <w:sz w:val="30"/>
          <w:szCs w:val="30"/>
        </w:rPr>
        <w:t>项目编号：</w:t>
      </w:r>
    </w:p>
    <w:p>
      <w:pPr>
        <w:spacing w:after="160" w:line="480" w:lineRule="auto"/>
        <w:rPr>
          <w:rFonts w:ascii="宋体" w:hAnsi="宋体" w:cs="宋体"/>
          <w:b/>
          <w:bCs/>
          <w:sz w:val="30"/>
        </w:rPr>
      </w:pPr>
    </w:p>
    <w:p>
      <w:pPr>
        <w:spacing w:after="160" w:line="480" w:lineRule="auto"/>
        <w:rPr>
          <w:rFonts w:ascii="宋体" w:hAnsi="宋体" w:cs="宋体"/>
          <w:b/>
          <w:bCs/>
          <w:sz w:val="30"/>
        </w:rPr>
      </w:pPr>
      <w:r>
        <w:rPr>
          <w:rFonts w:hint="eastAsia" w:ascii="宋体" w:hAnsi="宋体" w:cs="宋体"/>
          <w:b/>
          <w:bCs/>
          <w:sz w:val="30"/>
        </w:rPr>
        <w:t>甲方：广州市净水有限公司</w:t>
      </w:r>
    </w:p>
    <w:p>
      <w:pPr>
        <w:spacing w:after="160" w:line="480" w:lineRule="auto"/>
        <w:rPr>
          <w:rFonts w:ascii="宋体" w:hAnsi="宋体" w:cs="宋体"/>
          <w:b/>
          <w:bCs/>
          <w:sz w:val="30"/>
        </w:rPr>
      </w:pPr>
      <w:r>
        <w:rPr>
          <w:rFonts w:hint="eastAsia" w:ascii="宋体" w:hAnsi="宋体" w:cs="宋体"/>
          <w:b/>
          <w:bCs/>
          <w:sz w:val="30"/>
        </w:rPr>
        <w:t>乙方：</w:t>
      </w:r>
    </w:p>
    <w:p>
      <w:pPr>
        <w:spacing w:after="160" w:line="480" w:lineRule="auto"/>
        <w:ind w:firstLine="2409" w:firstLineChars="800"/>
        <w:rPr>
          <w:rFonts w:ascii="宋体" w:hAnsi="宋体" w:cs="宋体"/>
          <w:b/>
          <w:bCs/>
          <w:sz w:val="30"/>
        </w:rPr>
      </w:pPr>
    </w:p>
    <w:p>
      <w:pPr>
        <w:spacing w:after="160" w:line="480" w:lineRule="auto"/>
        <w:rPr>
          <w:rFonts w:ascii="宋体" w:hAnsi="宋体" w:cs="宋体"/>
          <w:b/>
          <w:bCs/>
          <w:sz w:val="30"/>
        </w:rPr>
      </w:pPr>
      <w:r>
        <w:rPr>
          <w:rFonts w:hint="eastAsia" w:ascii="宋体" w:hAnsi="宋体" w:cs="宋体"/>
          <w:b/>
          <w:bCs/>
          <w:sz w:val="30"/>
        </w:rPr>
        <w:t>签订日期：    年  月  日</w:t>
      </w:r>
    </w:p>
    <w:p>
      <w:pPr>
        <w:spacing w:after="160" w:line="480" w:lineRule="auto"/>
        <w:rPr>
          <w:rFonts w:ascii="宋体" w:hAnsi="宋体" w:cs="宋体"/>
          <w:b/>
          <w:bCs/>
          <w:sz w:val="30"/>
        </w:rPr>
      </w:pPr>
      <w:r>
        <w:rPr>
          <w:rFonts w:hint="eastAsia" w:ascii="宋体" w:hAnsi="宋体" w:cs="宋体"/>
          <w:b/>
          <w:bCs/>
          <w:sz w:val="30"/>
        </w:rPr>
        <w:t>签约地点：广州市</w:t>
      </w:r>
    </w:p>
    <w:p>
      <w:pPr>
        <w:widowControl/>
        <w:jc w:val="left"/>
        <w:rPr>
          <w:b/>
          <w:sz w:val="28"/>
          <w:szCs w:val="28"/>
        </w:rPr>
      </w:pPr>
      <w:r>
        <w:rPr>
          <w:b/>
          <w:sz w:val="28"/>
          <w:szCs w:val="28"/>
        </w:rPr>
        <w:br w:type="page"/>
      </w:r>
    </w:p>
    <w:p>
      <w:pPr>
        <w:spacing w:before="72"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rPr>
        <w:t xml:space="preserve"> （以下简称“乙方”）就 </w:t>
      </w:r>
      <w:r>
        <w:rPr>
          <w:rFonts w:hint="eastAsia" w:ascii="宋体" w:hAnsi="宋体" w:cs="宋体"/>
          <w:sz w:val="24"/>
          <w:u w:val="single"/>
        </w:rPr>
        <w:t xml:space="preserve"> 2021年广州净水公司起重设备维保维修及检测服务</w:t>
      </w:r>
      <w:r>
        <w:rPr>
          <w:rFonts w:hint="eastAsia" w:ascii="宋体" w:hAnsi="宋体" w:cs="宋体"/>
          <w:sz w:val="24"/>
        </w:rPr>
        <w:t>承接工作事宜，遵循平等、自愿、公平和诚实信用的原则，双方协商一致，订立本合同。</w:t>
      </w:r>
    </w:p>
    <w:p>
      <w:pPr>
        <w:spacing w:before="72"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2021年广州市净水有限公司起重设备维保维修及检测服务。</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猎德分公司、大坦沙分公司、沥滘分公司、石井分公司、石井净水分公司、京溪分公司、龙归分公司、竹料分公司、大沙地分公司、江高分公司、大观分公司、健康城分公司、</w:t>
      </w:r>
      <w:r>
        <w:rPr>
          <w:rFonts w:hint="eastAsia" w:ascii="宋体" w:hAnsi="宋体" w:cs="宋体"/>
          <w:sz w:val="24"/>
          <w:u w:val="single"/>
          <w:lang w:eastAsia="zh-CN"/>
        </w:rPr>
        <w:t>西朗二期</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u w:val="single"/>
        </w:rPr>
      </w:pPr>
      <w:r>
        <w:rPr>
          <w:rFonts w:hint="eastAsia" w:ascii="宋体" w:hAnsi="宋体" w:cs="宋体"/>
          <w:sz w:val="24"/>
        </w:rPr>
        <w:t>2.3项目内容：</w:t>
      </w:r>
      <w:r>
        <w:rPr>
          <w:rFonts w:hint="eastAsia" w:ascii="宋体" w:hAnsi="宋体" w:cs="宋体"/>
          <w:sz w:val="24"/>
          <w:u w:val="single"/>
        </w:rPr>
        <w:t>广州市净水有限公司所属各单位内的起重设备维保维修及检测服务。</w:t>
      </w: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adjustRightInd w:val="0"/>
        <w:snapToGrid w:val="0"/>
        <w:spacing w:after="160" w:line="460" w:lineRule="exact"/>
        <w:ind w:firstLine="420" w:firstLineChars="200"/>
        <w:rPr>
          <w:rFonts w:ascii="宋体" w:hAnsi="宋体" w:cs="宋体"/>
          <w:sz w:val="24"/>
        </w:rPr>
      </w:pPr>
      <w:r>
        <w:rPr>
          <w:rFonts w:hint="eastAsia" w:ascii="宋体" w:hAnsi="宋体" w:cs="宋体"/>
          <w:szCs w:val="21"/>
        </w:rPr>
        <w:sym w:font="Wingdings 2" w:char="F052"/>
      </w:r>
      <w:r>
        <w:rPr>
          <w:rFonts w:hint="eastAsia" w:ascii="宋体" w:hAnsi="宋体" w:cs="宋体"/>
          <w:sz w:val="24"/>
        </w:rPr>
        <w:t>综合单价包干，按固定月份维保价格计算，以实际开展维保月份结算，合同履行期间国家税率调整的，不含税价不变，税价合计相应调整，以开具发票时间为准。</w:t>
      </w:r>
    </w:p>
    <w:p>
      <w:pPr>
        <w:widowControl/>
        <w:ind w:firstLine="420" w:firstLineChars="200"/>
        <w:jc w:val="left"/>
        <w:rPr>
          <w:rFonts w:ascii="宋体" w:hAnsi="宋体" w:cs="宋体"/>
          <w:sz w:val="24"/>
        </w:rPr>
      </w:pPr>
      <w:r>
        <w:rPr>
          <w:rFonts w:hint="eastAsia" w:ascii="宋体" w:hAnsi="宋体" w:cs="宋体"/>
          <w:szCs w:val="21"/>
        </w:rPr>
        <w:t>□</w:t>
      </w:r>
      <w:r>
        <w:rPr>
          <w:rFonts w:hint="eastAsia" w:ascii="宋体" w:hAnsi="宋体" w:cs="宋体"/>
          <w:sz w:val="24"/>
        </w:rPr>
        <w:t>总价包干</w:t>
      </w:r>
    </w:p>
    <w:p>
      <w:pPr>
        <w:spacing w:line="384" w:lineRule="auto"/>
        <w:ind w:firstLine="482" w:firstLineChars="200"/>
        <w:rPr>
          <w:rFonts w:ascii="宋体" w:hAnsi="宋体" w:cs="宋体"/>
          <w:b/>
          <w:bCs/>
          <w:sz w:val="24"/>
        </w:rPr>
      </w:pPr>
    </w:p>
    <w:p>
      <w:pPr>
        <w:numPr>
          <w:ilvl w:val="0"/>
          <w:numId w:val="5"/>
        </w:numPr>
        <w:spacing w:line="384" w:lineRule="auto"/>
        <w:ind w:firstLine="482" w:firstLineChars="200"/>
        <w:rPr>
          <w:rFonts w:hint="eastAsia" w:ascii="宋体" w:hAnsi="宋体" w:cs="宋体"/>
          <w:b/>
          <w:bCs/>
          <w:sz w:val="24"/>
        </w:rPr>
      </w:pPr>
      <w:r>
        <w:rPr>
          <w:rFonts w:hint="eastAsia" w:ascii="宋体" w:hAnsi="宋体" w:cs="宋体"/>
          <w:b/>
          <w:bCs/>
          <w:sz w:val="24"/>
        </w:rPr>
        <w:t>合同价款</w:t>
      </w:r>
    </w:p>
    <w:p>
      <w:pPr>
        <w:autoSpaceDE/>
        <w:autoSpaceDN/>
        <w:adjustRightInd/>
        <w:spacing w:line="384" w:lineRule="auto"/>
        <w:ind w:firstLine="480" w:firstLineChars="200"/>
        <w:rPr>
          <w:rFonts w:ascii="宋体" w:hAnsi="宋体" w:cs="宋体"/>
          <w:sz w:val="24"/>
        </w:rPr>
      </w:pPr>
    </w:p>
    <w:tbl>
      <w:tblPr>
        <w:tblStyle w:val="19"/>
        <w:tblW w:w="983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1"/>
        <w:gridCol w:w="724"/>
        <w:gridCol w:w="851"/>
        <w:gridCol w:w="851"/>
        <w:gridCol w:w="992"/>
        <w:gridCol w:w="851"/>
        <w:gridCol w:w="992"/>
        <w:gridCol w:w="850"/>
        <w:gridCol w:w="851"/>
        <w:gridCol w:w="850"/>
        <w:gridCol w:w="12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单位名称</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荷载</w:t>
            </w: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强检设备数量（台）</w:t>
            </w:r>
          </w:p>
        </w:tc>
        <w:tc>
          <w:tcPr>
            <w:tcW w:w="851" w:type="dxa"/>
            <w:vAlign w:val="center"/>
          </w:tcPr>
          <w:p>
            <w:pPr>
              <w:jc w:val="center"/>
              <w:rPr>
                <w:rFonts w:eastAsia="宋体" w:cs="Times New Roman" w:asciiTheme="minorEastAsia" w:hAnsiTheme="minorEastAsia"/>
                <w:kern w:val="0"/>
                <w:sz w:val="20"/>
                <w:szCs w:val="21"/>
              </w:rPr>
            </w:pPr>
            <w:r>
              <w:rPr>
                <w:rFonts w:hint="eastAsia" w:ascii="Times New Roman" w:hAnsi="宋体" w:eastAsia="宋体" w:cs="Times New Roman"/>
                <w:kern w:val="0"/>
                <w:sz w:val="20"/>
                <w:szCs w:val="21"/>
              </w:rPr>
              <w:t>价格（每台次/元）</w:t>
            </w:r>
          </w:p>
        </w:tc>
        <w:tc>
          <w:tcPr>
            <w:tcW w:w="992"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非强检设备数量（台）</w:t>
            </w:r>
          </w:p>
        </w:tc>
        <w:tc>
          <w:tcPr>
            <w:tcW w:w="851" w:type="dxa"/>
            <w:vAlign w:val="center"/>
          </w:tcPr>
          <w:p>
            <w:pPr>
              <w:jc w:val="center"/>
              <w:rPr>
                <w:rFonts w:eastAsia="宋体" w:cs="Times New Roman" w:asciiTheme="minorEastAsia" w:hAnsiTheme="minorEastAsia"/>
                <w:kern w:val="0"/>
                <w:sz w:val="20"/>
                <w:szCs w:val="21"/>
              </w:rPr>
            </w:pPr>
            <w:r>
              <w:rPr>
                <w:rFonts w:hint="eastAsia" w:ascii="Times New Roman" w:hAnsi="宋体" w:eastAsia="宋体" w:cs="Times New Roman"/>
                <w:kern w:val="0"/>
                <w:sz w:val="20"/>
                <w:szCs w:val="21"/>
              </w:rPr>
              <w:t>价格（每台次/元）</w:t>
            </w:r>
          </w:p>
        </w:tc>
        <w:tc>
          <w:tcPr>
            <w:tcW w:w="992"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每月安全检查（台）</w:t>
            </w:r>
          </w:p>
        </w:tc>
        <w:tc>
          <w:tcPr>
            <w:tcW w:w="850" w:type="dxa"/>
            <w:vAlign w:val="center"/>
          </w:tcPr>
          <w:p>
            <w:pPr>
              <w:jc w:val="center"/>
              <w:rPr>
                <w:rFonts w:eastAsia="宋体" w:cs="Times New Roman" w:asciiTheme="minorEastAsia" w:hAnsiTheme="minorEastAsia"/>
                <w:kern w:val="0"/>
                <w:sz w:val="20"/>
                <w:szCs w:val="21"/>
              </w:rPr>
            </w:pPr>
            <w:r>
              <w:rPr>
                <w:rFonts w:hint="eastAsia" w:ascii="Times New Roman" w:hAnsi="宋体" w:eastAsia="宋体" w:cs="Times New Roman"/>
                <w:kern w:val="0"/>
                <w:sz w:val="20"/>
                <w:szCs w:val="21"/>
              </w:rPr>
              <w:t>价格（每台元/月）</w:t>
            </w: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每季维保数量（台）</w:t>
            </w:r>
          </w:p>
        </w:tc>
        <w:tc>
          <w:tcPr>
            <w:tcW w:w="850" w:type="dxa"/>
            <w:vAlign w:val="center"/>
          </w:tcPr>
          <w:p>
            <w:pPr>
              <w:jc w:val="center"/>
              <w:rPr>
                <w:rFonts w:eastAsia="宋体" w:cs="Times New Roman" w:asciiTheme="minorEastAsia" w:hAnsiTheme="minorEastAsia"/>
                <w:kern w:val="0"/>
                <w:sz w:val="20"/>
                <w:szCs w:val="21"/>
              </w:rPr>
            </w:pPr>
            <w:r>
              <w:rPr>
                <w:rFonts w:hint="eastAsia" w:ascii="Times New Roman" w:hAnsi="宋体" w:eastAsia="宋体" w:cs="Times New Roman"/>
                <w:kern w:val="0"/>
                <w:sz w:val="20"/>
                <w:szCs w:val="21"/>
              </w:rPr>
              <w:t>价格（每台元/季）</w:t>
            </w:r>
          </w:p>
        </w:tc>
        <w:tc>
          <w:tcPr>
            <w:tcW w:w="1217"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小计（元）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5"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猎德分公司</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w:t>
            </w:r>
            <w:r>
              <w:rPr>
                <w:rFonts w:eastAsia="宋体" w:cs="Times New Roman" w:asciiTheme="minorEastAsia" w:hAnsiTheme="minorEastAsia"/>
                <w:kern w:val="0"/>
                <w:sz w:val="20"/>
                <w:szCs w:val="21"/>
              </w:rPr>
              <w:t>5</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w:t>
            </w:r>
            <w:r>
              <w:rPr>
                <w:rFonts w:eastAsia="宋体" w:cs="Times New Roman" w:asciiTheme="minorEastAsia" w:hAnsiTheme="minorEastAsia"/>
                <w:kern w:val="0"/>
                <w:sz w:val="20"/>
                <w:szCs w:val="21"/>
              </w:rPr>
              <w:t>5</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5"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大坦沙分公司</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6</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48</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48</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7"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沥滘分公司</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2</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9</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35</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w:t>
            </w:r>
            <w:r>
              <w:rPr>
                <w:rFonts w:eastAsia="宋体" w:cs="Times New Roman" w:asciiTheme="minorEastAsia" w:hAnsiTheme="minorEastAsia"/>
                <w:kern w:val="0"/>
                <w:sz w:val="20"/>
                <w:szCs w:val="21"/>
              </w:rPr>
              <w:t>5</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9"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石井分公司</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19</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19</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石井净水分公司</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21</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w:t>
            </w:r>
            <w:r>
              <w:rPr>
                <w:rFonts w:eastAsia="宋体" w:cs="Times New Roman" w:asciiTheme="minorEastAsia" w:hAnsiTheme="minorEastAsia"/>
                <w:kern w:val="0"/>
                <w:sz w:val="20"/>
                <w:szCs w:val="21"/>
              </w:rPr>
              <w:t>1</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9"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京溪分公司</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5</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7</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7</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龙归分公司</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17</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39</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w:t>
            </w:r>
            <w:r>
              <w:rPr>
                <w:rFonts w:eastAsia="宋体" w:cs="Times New Roman" w:asciiTheme="minorEastAsia" w:hAnsiTheme="minorEastAsia"/>
                <w:kern w:val="0"/>
                <w:sz w:val="20"/>
                <w:szCs w:val="21"/>
              </w:rPr>
              <w:t>9</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9"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竹料分公司</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11</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1</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大沙地分公司</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36</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w:t>
            </w:r>
            <w:r>
              <w:rPr>
                <w:rFonts w:eastAsia="宋体" w:cs="Times New Roman" w:asciiTheme="minorEastAsia" w:hAnsiTheme="minorEastAsia"/>
                <w:kern w:val="0"/>
                <w:sz w:val="20"/>
                <w:szCs w:val="21"/>
              </w:rPr>
              <w:t>6</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健康城分公司</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7</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7</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大观分公司</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4</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4</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江高分公司</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w:t>
            </w:r>
            <w:r>
              <w:rPr>
                <w:rFonts w:eastAsia="宋体" w:cs="Times New Roman" w:asciiTheme="minorEastAsia" w:hAnsiTheme="minorEastAsia"/>
                <w:kern w:val="0"/>
                <w:sz w:val="20"/>
                <w:szCs w:val="21"/>
              </w:rPr>
              <w:t>1</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w:t>
            </w:r>
            <w:r>
              <w:rPr>
                <w:rFonts w:eastAsia="宋体" w:cs="Times New Roman" w:asciiTheme="minorEastAsia" w:hAnsiTheme="minorEastAsia"/>
                <w:kern w:val="0"/>
                <w:sz w:val="20"/>
                <w:szCs w:val="21"/>
              </w:rPr>
              <w:t>1</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西朗二期</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w:t>
            </w:r>
            <w:r>
              <w:rPr>
                <w:rFonts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4</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w:t>
            </w:r>
            <w:r>
              <w:rPr>
                <w:rFonts w:eastAsia="宋体" w:cs="Times New Roman" w:asciiTheme="minorEastAsia" w:hAnsiTheme="minorEastAsia"/>
                <w:kern w:val="0"/>
                <w:sz w:val="20"/>
                <w:szCs w:val="21"/>
              </w:rPr>
              <w:t>4</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w:t>
            </w:r>
            <w:r>
              <w:rPr>
                <w:rFonts w:eastAsia="宋体" w:cs="Times New Roman" w:asciiTheme="minorEastAsia" w:hAnsiTheme="minorEastAsia"/>
                <w:kern w:val="0"/>
                <w:sz w:val="20"/>
                <w:szCs w:val="21"/>
              </w:rPr>
              <w:t>4</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jc w:val="center"/>
        </w:trPr>
        <w:tc>
          <w:tcPr>
            <w:tcW w:w="3227" w:type="dxa"/>
            <w:gridSpan w:val="4"/>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合计总金额</w:t>
            </w:r>
            <w:r>
              <w:rPr>
                <w:rFonts w:hint="eastAsia" w:eastAsia="宋体" w:cs="Times New Roman" w:asciiTheme="minorEastAsia" w:hAnsiTheme="minorEastAsia"/>
                <w:kern w:val="0"/>
                <w:sz w:val="20"/>
                <w:szCs w:val="21"/>
              </w:rPr>
              <w:t>（元）</w:t>
            </w:r>
          </w:p>
        </w:tc>
        <w:tc>
          <w:tcPr>
            <w:tcW w:w="2835" w:type="dxa"/>
            <w:gridSpan w:val="3"/>
            <w:vAlign w:val="center"/>
          </w:tcPr>
          <w:p>
            <w:pPr>
              <w:jc w:val="center"/>
              <w:rPr>
                <w:rFonts w:eastAsia="宋体" w:cs="Times New Roman" w:asciiTheme="minorEastAsia" w:hAnsiTheme="minorEastAsia"/>
                <w:kern w:val="0"/>
                <w:sz w:val="20"/>
                <w:szCs w:val="21"/>
              </w:rPr>
            </w:pPr>
          </w:p>
        </w:tc>
        <w:tc>
          <w:tcPr>
            <w:tcW w:w="3768" w:type="dxa"/>
            <w:gridSpan w:val="4"/>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合计总金额仅作为签约依据，最终合同价格依据本合同结算条款计算得出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jc w:val="center"/>
        </w:trPr>
        <w:tc>
          <w:tcPr>
            <w:tcW w:w="9830" w:type="dxa"/>
            <w:gridSpan w:val="11"/>
            <w:vAlign w:val="center"/>
          </w:tcPr>
          <w:p>
            <w:pPr>
              <w:rPr>
                <w:rFonts w:eastAsia="宋体" w:cs="宋体" w:asciiTheme="minorEastAsia" w:hAnsiTheme="minorEastAsia"/>
                <w:kern w:val="0"/>
                <w:sz w:val="20"/>
                <w:szCs w:val="21"/>
              </w:rPr>
            </w:pPr>
            <w:r>
              <w:rPr>
                <w:rFonts w:hint="eastAsia" w:eastAsia="宋体" w:cs="宋体" w:asciiTheme="minorEastAsia" w:hAnsiTheme="minorEastAsia"/>
                <w:kern w:val="0"/>
                <w:sz w:val="20"/>
                <w:szCs w:val="21"/>
              </w:rPr>
              <w:t>备注：1</w:t>
            </w:r>
            <w:r>
              <w:rPr>
                <w:rFonts w:eastAsia="宋体" w:cs="宋体" w:asciiTheme="minorEastAsia" w:hAnsiTheme="minorEastAsia"/>
                <w:kern w:val="0"/>
                <w:sz w:val="20"/>
                <w:szCs w:val="21"/>
              </w:rPr>
              <w:t>.</w:t>
            </w:r>
            <w:r>
              <w:rPr>
                <w:rFonts w:hint="eastAsia" w:eastAsia="宋体" w:cs="宋体" w:asciiTheme="minorEastAsia" w:hAnsiTheme="minorEastAsia"/>
                <w:kern w:val="0"/>
                <w:sz w:val="20"/>
                <w:szCs w:val="21"/>
              </w:rPr>
              <w:t>以上服务项目固定价格含增值税专用发票。</w:t>
            </w:r>
          </w:p>
          <w:p>
            <w:pPr>
              <w:rPr>
                <w:rFonts w:eastAsia="宋体" w:cs="宋体" w:asciiTheme="minorEastAsia" w:hAnsiTheme="minorEastAsia"/>
                <w:kern w:val="0"/>
                <w:sz w:val="20"/>
                <w:szCs w:val="21"/>
              </w:rPr>
            </w:pPr>
            <w:r>
              <w:rPr>
                <w:rFonts w:hint="eastAsia" w:eastAsia="宋体" w:cs="宋体" w:asciiTheme="minorEastAsia" w:hAnsiTheme="minorEastAsia"/>
                <w:kern w:val="0"/>
                <w:sz w:val="20"/>
                <w:szCs w:val="21"/>
              </w:rPr>
              <w:t xml:space="preserve"> </w:t>
            </w:r>
            <w:r>
              <w:rPr>
                <w:rFonts w:eastAsia="宋体" w:cs="宋体" w:asciiTheme="minorEastAsia" w:hAnsiTheme="minorEastAsia"/>
                <w:kern w:val="0"/>
                <w:sz w:val="20"/>
                <w:szCs w:val="21"/>
              </w:rPr>
              <w:t xml:space="preserve">     2.以上服务项目固定价格含上门维修服务费用</w:t>
            </w:r>
            <w:r>
              <w:rPr>
                <w:rFonts w:hint="eastAsia" w:eastAsia="宋体" w:cs="宋体" w:asciiTheme="minorEastAsia" w:hAnsiTheme="minorEastAsia"/>
                <w:kern w:val="0"/>
                <w:sz w:val="20"/>
                <w:szCs w:val="21"/>
              </w:rPr>
              <w:t>（更换单件1</w:t>
            </w:r>
            <w:r>
              <w:rPr>
                <w:rFonts w:eastAsia="宋体" w:cs="宋体" w:asciiTheme="minorEastAsia" w:hAnsiTheme="minorEastAsia"/>
                <w:kern w:val="0"/>
                <w:sz w:val="20"/>
                <w:szCs w:val="21"/>
              </w:rPr>
              <w:t>00元以上的元件</w:t>
            </w:r>
            <w:r>
              <w:rPr>
                <w:rFonts w:hint="eastAsia" w:eastAsia="宋体" w:cs="宋体" w:asciiTheme="minorEastAsia" w:hAnsiTheme="minorEastAsia"/>
                <w:kern w:val="0"/>
                <w:sz w:val="20"/>
                <w:szCs w:val="21"/>
              </w:rPr>
              <w:t>费用另算）。</w:t>
            </w:r>
          </w:p>
          <w:p>
            <w:pPr>
              <w:rPr>
                <w:rFonts w:eastAsia="宋体" w:cs="Times New Roman" w:asciiTheme="minorEastAsia" w:hAnsiTheme="minorEastAsia"/>
                <w:color w:val="000000"/>
                <w:kern w:val="0"/>
                <w:sz w:val="20"/>
                <w:szCs w:val="21"/>
              </w:rPr>
            </w:pPr>
            <w:r>
              <w:rPr>
                <w:rFonts w:hint="eastAsia" w:eastAsia="宋体" w:cs="宋体" w:asciiTheme="minorEastAsia" w:hAnsiTheme="minorEastAsia"/>
                <w:kern w:val="0"/>
                <w:sz w:val="20"/>
                <w:szCs w:val="21"/>
              </w:rPr>
              <w:t xml:space="preserve"> </w:t>
            </w:r>
            <w:r>
              <w:rPr>
                <w:rFonts w:eastAsia="宋体" w:cs="宋体" w:asciiTheme="minorEastAsia" w:hAnsiTheme="minorEastAsia"/>
                <w:kern w:val="0"/>
                <w:sz w:val="20"/>
                <w:szCs w:val="21"/>
              </w:rPr>
              <w:t xml:space="preserve">     3.强检与非强检设备检测价格包括特检院一切费用</w:t>
            </w:r>
            <w:r>
              <w:rPr>
                <w:rFonts w:hint="eastAsia" w:eastAsia="宋体" w:cs="宋体" w:asciiTheme="minorEastAsia" w:hAnsiTheme="minorEastAsia"/>
                <w:kern w:val="0"/>
                <w:sz w:val="20"/>
                <w:szCs w:val="21"/>
              </w:rPr>
              <w:t>。</w:t>
            </w:r>
          </w:p>
          <w:p>
            <w:pPr>
              <w:jc w:val="center"/>
              <w:rPr>
                <w:rFonts w:eastAsia="宋体" w:cs="Times New Roman" w:asciiTheme="minorEastAsia" w:hAnsiTheme="minorEastAsia"/>
                <w:kern w:val="0"/>
                <w:sz w:val="20"/>
                <w:szCs w:val="21"/>
              </w:rPr>
            </w:pPr>
          </w:p>
        </w:tc>
      </w:tr>
    </w:tbl>
    <w:p>
      <w:pPr>
        <w:spacing w:line="384" w:lineRule="auto"/>
        <w:ind w:firstLine="480" w:firstLineChars="200"/>
        <w:rPr>
          <w:rFonts w:ascii="宋体" w:hAnsi="宋体" w:cs="宋体"/>
          <w:sz w:val="24"/>
        </w:rPr>
      </w:pPr>
    </w:p>
    <w:p>
      <w:pPr>
        <w:spacing w:line="384" w:lineRule="auto"/>
        <w:ind w:firstLine="480" w:firstLineChars="200"/>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 xml:space="preserve">第五条 </w:t>
      </w:r>
      <w:r>
        <w:rPr>
          <w:rFonts w:hint="eastAsia" w:ascii="宋体" w:hAnsi="宋体" w:cs="宋体"/>
          <w:b/>
          <w:bCs/>
          <w:sz w:val="24"/>
          <w:lang w:val="en-US" w:eastAsia="zh-CN"/>
        </w:rPr>
        <w:t>起重设备</w:t>
      </w:r>
      <w:r>
        <w:rPr>
          <w:rFonts w:hint="eastAsia" w:ascii="宋体" w:hAnsi="宋体" w:cs="宋体"/>
          <w:b/>
          <w:bCs/>
          <w:sz w:val="24"/>
        </w:rPr>
        <w:t>维保及检测服务内容</w:t>
      </w:r>
    </w:p>
    <w:p>
      <w:pPr>
        <w:spacing w:line="384" w:lineRule="auto"/>
        <w:ind w:firstLine="480" w:firstLineChars="200"/>
        <w:rPr>
          <w:rFonts w:ascii="宋体" w:hAnsi="宋体" w:cs="宋体"/>
          <w:sz w:val="24"/>
        </w:rPr>
      </w:pPr>
      <w:r>
        <w:rPr>
          <w:rFonts w:hint="eastAsia" w:ascii="宋体" w:hAnsi="宋体" w:cs="宋体"/>
          <w:sz w:val="24"/>
        </w:rPr>
        <w:t>5.1维保设备范围</w:t>
      </w:r>
    </w:p>
    <w:p>
      <w:pPr>
        <w:spacing w:line="384" w:lineRule="auto"/>
        <w:ind w:firstLine="480" w:firstLineChars="200"/>
        <w:rPr>
          <w:rFonts w:ascii="宋体" w:hAnsi="宋体" w:cs="宋体"/>
          <w:sz w:val="24"/>
          <w:u w:val="single"/>
        </w:rPr>
      </w:pPr>
      <w:r>
        <w:rPr>
          <w:rFonts w:hint="eastAsia" w:ascii="宋体" w:hAnsi="宋体" w:cs="宋体"/>
          <w:sz w:val="24"/>
        </w:rPr>
        <w:t>广州市净水有限公司属下各单位包括</w:t>
      </w:r>
      <w:r>
        <w:rPr>
          <w:rFonts w:hint="eastAsia" w:ascii="宋体" w:hAnsi="宋体" w:cs="宋体"/>
          <w:sz w:val="24"/>
          <w:u w:val="single"/>
        </w:rPr>
        <w:t>猎德分公司、大坦沙分公司、沥滘分公司、石井分公司、石井净水分公司、京溪分公司、龙归分公司、竹料分公司、大沙地分公司、江高分公司、大观分公司、健康城分公司、</w:t>
      </w:r>
      <w:r>
        <w:rPr>
          <w:rFonts w:hint="eastAsia" w:ascii="宋体" w:hAnsi="宋体" w:cs="宋体"/>
          <w:sz w:val="24"/>
          <w:u w:val="single"/>
          <w:lang w:eastAsia="zh-CN"/>
        </w:rPr>
        <w:t>西朗二期</w:t>
      </w:r>
      <w:r>
        <w:rPr>
          <w:rFonts w:hint="eastAsia" w:ascii="宋体" w:hAnsi="宋体" w:cs="宋体"/>
          <w:sz w:val="24"/>
          <w:u w:val="single"/>
        </w:rPr>
        <w:t>。</w:t>
      </w:r>
    </w:p>
    <w:p>
      <w:pPr>
        <w:spacing w:line="384" w:lineRule="auto"/>
        <w:ind w:firstLine="480" w:firstLineChars="200"/>
        <w:rPr>
          <w:rFonts w:ascii="宋体" w:hAnsi="宋体" w:cs="宋体"/>
          <w:sz w:val="24"/>
        </w:rPr>
      </w:pPr>
      <w:r>
        <w:rPr>
          <w:rFonts w:hint="eastAsia" w:ascii="宋体" w:hAnsi="宋体" w:cs="宋体"/>
          <w:sz w:val="24"/>
        </w:rPr>
        <w:t>5.2维保期限</w:t>
      </w:r>
    </w:p>
    <w:p>
      <w:pPr>
        <w:spacing w:line="384" w:lineRule="auto"/>
        <w:ind w:firstLine="480" w:firstLineChars="200"/>
        <w:rPr>
          <w:rFonts w:ascii="宋体" w:hAnsi="宋体" w:cs="宋体"/>
          <w:sz w:val="24"/>
        </w:rPr>
      </w:pPr>
      <w:r>
        <w:rPr>
          <w:rFonts w:hint="eastAsia" w:ascii="宋体" w:hAnsi="宋体" w:cs="宋体"/>
          <w:sz w:val="24"/>
        </w:rPr>
        <w:t>本次起重设备维保维修及检测服务合同期限为自合同签订之日起1年。</w:t>
      </w:r>
    </w:p>
    <w:p>
      <w:pPr>
        <w:spacing w:line="384" w:lineRule="auto"/>
        <w:ind w:firstLine="480" w:firstLineChars="200"/>
        <w:rPr>
          <w:rFonts w:ascii="宋体" w:hAnsi="宋体" w:cs="宋体"/>
          <w:sz w:val="24"/>
        </w:rPr>
      </w:pPr>
      <w:r>
        <w:rPr>
          <w:rFonts w:hint="eastAsia" w:ascii="宋体" w:hAnsi="宋体" w:cs="宋体"/>
          <w:sz w:val="24"/>
        </w:rPr>
        <w:t>5.3维保服务内容及要求</w:t>
      </w:r>
    </w:p>
    <w:p>
      <w:pPr>
        <w:spacing w:line="384" w:lineRule="auto"/>
        <w:ind w:firstLine="480" w:firstLineChars="200"/>
        <w:rPr>
          <w:rFonts w:ascii="宋体" w:hAnsi="宋体" w:cs="宋体"/>
          <w:sz w:val="24"/>
        </w:rPr>
      </w:pPr>
      <w:r>
        <w:rPr>
          <w:rFonts w:hint="eastAsia" w:ascii="宋体" w:hAnsi="宋体" w:cs="宋体"/>
          <w:sz w:val="24"/>
        </w:rPr>
        <w:t>对广州市净水有限公司</w:t>
      </w:r>
      <w:r>
        <w:rPr>
          <w:rFonts w:hint="eastAsia" w:ascii="宋体" w:hAnsi="宋体" w:cs="宋体"/>
          <w:sz w:val="24"/>
          <w:lang w:val="en-US" w:eastAsia="zh-CN"/>
        </w:rPr>
        <w:t>属下各单位</w:t>
      </w:r>
      <w:r>
        <w:rPr>
          <w:rFonts w:hint="eastAsia" w:ascii="宋体" w:hAnsi="宋体" w:cs="宋体"/>
          <w:sz w:val="24"/>
        </w:rPr>
        <w:t>起重设备进行定期安全检查、维保、维修、检测等服务，服务内容应包括但不限于：</w:t>
      </w:r>
    </w:p>
    <w:p>
      <w:pPr>
        <w:spacing w:line="384" w:lineRule="auto"/>
        <w:ind w:firstLine="480" w:firstLineChars="200"/>
        <w:rPr>
          <w:rFonts w:ascii="宋体" w:hAnsi="宋体" w:cs="宋体"/>
          <w:sz w:val="24"/>
        </w:rPr>
      </w:pPr>
      <w:r>
        <w:rPr>
          <w:rFonts w:hint="eastAsia" w:ascii="宋体" w:hAnsi="宋体" w:cs="宋体"/>
          <w:sz w:val="24"/>
        </w:rPr>
        <w:t>1.合同期内，乙方派出专业人员每季壹次定期对</w:t>
      </w:r>
      <w:r>
        <w:rPr>
          <w:rFonts w:hint="eastAsia" w:ascii="宋体" w:hAnsi="宋体" w:cs="宋体"/>
          <w:color w:val="auto"/>
          <w:sz w:val="24"/>
          <w:highlight w:val="none"/>
        </w:rPr>
        <w:t>甲方</w:t>
      </w:r>
      <w:r>
        <w:rPr>
          <w:rFonts w:hint="eastAsia" w:ascii="宋体" w:hAnsi="宋体" w:cs="宋体"/>
          <w:sz w:val="24"/>
        </w:rPr>
        <w:t>的起重机进行保养，并做好保养记录，建档备查。保养的范围、内容按本合同附件4《起重机定期维修保养点检查表》执行。</w:t>
      </w:r>
    </w:p>
    <w:p>
      <w:pPr>
        <w:spacing w:line="384" w:lineRule="auto"/>
        <w:ind w:firstLine="480" w:firstLineChars="200"/>
        <w:rPr>
          <w:rFonts w:ascii="宋体" w:hAnsi="宋体" w:cs="宋体"/>
          <w:sz w:val="24"/>
        </w:rPr>
      </w:pPr>
      <w:r>
        <w:rPr>
          <w:rFonts w:hint="eastAsia" w:ascii="宋体" w:hAnsi="宋体" w:cs="宋体"/>
          <w:sz w:val="24"/>
        </w:rPr>
        <w:t>2.合同期内每月对起重机进行运行安全检查，对须更换的起重机零件列出清单并做好记录。</w:t>
      </w:r>
    </w:p>
    <w:p>
      <w:pPr>
        <w:spacing w:line="384" w:lineRule="auto"/>
        <w:ind w:firstLine="480" w:firstLineChars="200"/>
        <w:rPr>
          <w:rFonts w:ascii="宋体" w:hAnsi="宋体" w:cs="宋体"/>
          <w:sz w:val="24"/>
        </w:rPr>
      </w:pPr>
      <w:r>
        <w:rPr>
          <w:rFonts w:hint="eastAsia" w:ascii="宋体" w:hAnsi="宋体" w:cs="宋体"/>
          <w:sz w:val="24"/>
        </w:rPr>
        <w:t>3.合同期内，</w:t>
      </w:r>
      <w:r>
        <w:rPr>
          <w:rFonts w:hint="eastAsia" w:ascii="宋体" w:hAnsi="宋体" w:cs="宋体"/>
          <w:sz w:val="24"/>
          <w:highlight w:val="none"/>
        </w:rPr>
        <w:t>甲方</w:t>
      </w:r>
      <w:r>
        <w:rPr>
          <w:rFonts w:hint="eastAsia" w:ascii="宋体" w:hAnsi="宋体" w:cs="宋体"/>
          <w:sz w:val="24"/>
        </w:rPr>
        <w:t>根据乙方提供的须更换的起重机零件清单购买完毕后，书面或电话通知乙方，乙方派出维修人员</w:t>
      </w:r>
      <w:r>
        <w:rPr>
          <w:rFonts w:hint="eastAsia" w:ascii="宋体" w:hAnsi="宋体" w:cs="宋体"/>
          <w:sz w:val="24"/>
          <w:lang w:val="en-US" w:eastAsia="zh-CN"/>
        </w:rPr>
        <w:t>进行</w:t>
      </w:r>
      <w:r>
        <w:rPr>
          <w:rFonts w:hint="eastAsia" w:ascii="宋体" w:hAnsi="宋体" w:cs="宋体"/>
          <w:sz w:val="24"/>
        </w:rPr>
        <w:t>维修更换。</w:t>
      </w:r>
    </w:p>
    <w:p>
      <w:pPr>
        <w:spacing w:line="384" w:lineRule="auto"/>
        <w:ind w:firstLine="480" w:firstLineChars="200"/>
        <w:rPr>
          <w:rFonts w:ascii="宋体" w:hAnsi="宋体" w:cs="宋体"/>
          <w:sz w:val="24"/>
        </w:rPr>
      </w:pPr>
      <w:r>
        <w:rPr>
          <w:rFonts w:hint="eastAsia" w:ascii="宋体" w:hAnsi="宋体" w:cs="宋体"/>
          <w:sz w:val="24"/>
        </w:rPr>
        <w:t>4.起重机在正常使用中发生故障或突发情况时，甲方立即通知乙方，乙方应在接到通知后12小时内派员到达现场进行处理。原则上维修人员到达现场后，应于12小时内恢复起重机运行。</w:t>
      </w:r>
    </w:p>
    <w:p>
      <w:pPr>
        <w:spacing w:line="384" w:lineRule="auto"/>
        <w:ind w:firstLine="480" w:firstLineChars="200"/>
        <w:rPr>
          <w:rFonts w:ascii="宋体" w:hAnsi="宋体" w:cs="宋体"/>
          <w:sz w:val="24"/>
        </w:rPr>
      </w:pPr>
      <w:r>
        <w:rPr>
          <w:rFonts w:hint="eastAsia" w:ascii="宋体" w:hAnsi="宋体" w:cs="宋体"/>
          <w:sz w:val="24"/>
        </w:rPr>
        <w:t>5.乙方负责免费提供低损耗元件（单个元件不超100元）及保养所需的润滑油料。</w:t>
      </w:r>
    </w:p>
    <w:p>
      <w:pPr>
        <w:spacing w:line="384" w:lineRule="auto"/>
        <w:ind w:firstLine="480" w:firstLineChars="200"/>
        <w:rPr>
          <w:rFonts w:ascii="宋体" w:hAnsi="宋体" w:cs="宋体"/>
          <w:sz w:val="24"/>
        </w:rPr>
      </w:pPr>
      <w:r>
        <w:rPr>
          <w:rFonts w:hint="eastAsia" w:ascii="宋体" w:hAnsi="宋体" w:cs="宋体"/>
          <w:sz w:val="24"/>
        </w:rPr>
        <w:t>6.如有必要更换上述第4点以外的起重机零件，乙方应及时将维修清单报甲方，甲方审核后负责实施。乙方提供的报价应较市场价优惠，甲方有权决定自行实施或部分实施。</w:t>
      </w:r>
    </w:p>
    <w:p>
      <w:pPr>
        <w:spacing w:line="384" w:lineRule="auto"/>
        <w:ind w:firstLine="482" w:firstLineChars="200"/>
        <w:rPr>
          <w:rFonts w:ascii="宋体" w:hAnsi="宋体" w:cs="宋体"/>
          <w:b/>
          <w:bCs/>
          <w:sz w:val="24"/>
        </w:rPr>
      </w:pPr>
      <w:r>
        <w:rPr>
          <w:rFonts w:hint="eastAsia" w:ascii="宋体" w:hAnsi="宋体" w:cs="宋体"/>
          <w:b/>
          <w:bCs/>
          <w:sz w:val="24"/>
        </w:rPr>
        <w:t>第六条 技术要求</w:t>
      </w:r>
    </w:p>
    <w:p>
      <w:pPr>
        <w:spacing w:line="384" w:lineRule="auto"/>
        <w:ind w:firstLine="480" w:firstLineChars="200"/>
        <w:rPr>
          <w:rFonts w:ascii="宋体" w:hAnsi="宋体" w:cs="宋体"/>
          <w:sz w:val="24"/>
        </w:rPr>
      </w:pPr>
      <w:r>
        <w:rPr>
          <w:rFonts w:hint="eastAsia" w:ascii="宋体" w:hAnsi="宋体" w:cs="宋体"/>
          <w:sz w:val="24"/>
        </w:rPr>
        <w:t>1.服务质量应符合《中华人民共和国特种设备安全法》、《特种设备安全监察条例》与起重机相关的最新法规、规范及广州市特种设备安全检验研究院的起重机首检、定期检验规定及如下规则：《起重机械定期检验规则》TSG Q7015-2016；《起重机械安装改造重大修理监督检验规则》TSG Q7016-2016;《通用桥式起重机》GB/T 14405-2011等。</w:t>
      </w:r>
    </w:p>
    <w:p>
      <w:pPr>
        <w:spacing w:line="384" w:lineRule="auto"/>
        <w:ind w:firstLine="480" w:firstLineChars="200"/>
        <w:rPr>
          <w:rFonts w:ascii="宋体" w:hAnsi="宋体" w:cs="宋体"/>
          <w:sz w:val="24"/>
        </w:rPr>
      </w:pPr>
      <w:r>
        <w:rPr>
          <w:rFonts w:hint="eastAsia" w:ascii="宋体" w:hAnsi="宋体" w:cs="宋体"/>
          <w:sz w:val="24"/>
        </w:rPr>
        <w:t>2.服务质量应符合有关机构发布的最新行业标准或国家标准。</w:t>
      </w:r>
    </w:p>
    <w:p>
      <w:pPr>
        <w:spacing w:line="384" w:lineRule="auto"/>
        <w:ind w:firstLine="480" w:firstLineChars="200"/>
        <w:rPr>
          <w:rFonts w:ascii="宋体" w:hAnsi="宋体" w:cs="宋体"/>
          <w:sz w:val="24"/>
        </w:rPr>
      </w:pPr>
      <w:r>
        <w:rPr>
          <w:rFonts w:hint="eastAsia" w:ascii="宋体" w:hAnsi="宋体" w:cs="宋体"/>
          <w:sz w:val="24"/>
        </w:rPr>
        <w:t>3.乙方技术人员进入</w:t>
      </w:r>
      <w:r>
        <w:rPr>
          <w:rFonts w:hint="eastAsia" w:ascii="宋体" w:hAnsi="宋体" w:cs="宋体"/>
          <w:sz w:val="24"/>
          <w:highlight w:val="none"/>
        </w:rPr>
        <w:t>甲方</w:t>
      </w:r>
      <w:r>
        <w:rPr>
          <w:rFonts w:hint="eastAsia" w:ascii="宋体" w:hAnsi="宋体" w:cs="宋体"/>
          <w:sz w:val="24"/>
        </w:rPr>
        <w:t>生产现场服务时，应按照甲方的相关规定办理进入生产现场的手续。</w:t>
      </w:r>
    </w:p>
    <w:p>
      <w:pPr>
        <w:spacing w:line="384" w:lineRule="auto"/>
        <w:ind w:firstLine="480" w:firstLineChars="200"/>
        <w:rPr>
          <w:rFonts w:ascii="宋体" w:hAnsi="宋体" w:cs="宋体"/>
          <w:sz w:val="24"/>
        </w:rPr>
      </w:pPr>
      <w:r>
        <w:rPr>
          <w:rFonts w:hint="eastAsia" w:ascii="宋体" w:hAnsi="宋体" w:cs="宋体"/>
          <w:sz w:val="24"/>
        </w:rPr>
        <w:t>4.乙方收到甲方或</w:t>
      </w:r>
      <w:r>
        <w:rPr>
          <w:rFonts w:hint="eastAsia" w:ascii="宋体" w:hAnsi="宋体" w:cs="宋体"/>
          <w:sz w:val="24"/>
          <w:highlight w:val="none"/>
        </w:rPr>
        <w:t>甲方</w:t>
      </w:r>
      <w:r>
        <w:rPr>
          <w:rFonts w:hint="eastAsia" w:ascii="宋体" w:hAnsi="宋体" w:cs="宋体"/>
          <w:sz w:val="24"/>
        </w:rPr>
        <w:t>的通知后，乙方需在五个工作日内派员上门到甲方指定的地点进行处理。</w:t>
      </w:r>
    </w:p>
    <w:p>
      <w:pPr>
        <w:spacing w:line="384" w:lineRule="auto"/>
        <w:ind w:firstLine="480" w:firstLineChars="200"/>
        <w:rPr>
          <w:rFonts w:ascii="宋体" w:hAnsi="宋体" w:cs="宋体"/>
          <w:sz w:val="24"/>
        </w:rPr>
      </w:pPr>
      <w:r>
        <w:rPr>
          <w:rFonts w:hint="eastAsia" w:ascii="宋体" w:hAnsi="宋体" w:cs="宋体"/>
          <w:sz w:val="24"/>
        </w:rPr>
        <w:t>5.检测报告开具后，乙方应在七个工作日内把专业有效的纸质检测报告免费送至甲方指定的地点。</w:t>
      </w:r>
    </w:p>
    <w:p>
      <w:pPr>
        <w:spacing w:line="384" w:lineRule="auto"/>
        <w:ind w:firstLine="480" w:firstLineChars="200"/>
        <w:rPr>
          <w:rFonts w:ascii="宋体" w:hAnsi="宋体" w:cs="宋体"/>
          <w:sz w:val="24"/>
        </w:rPr>
      </w:pPr>
      <w:r>
        <w:rPr>
          <w:rFonts w:hint="eastAsia" w:ascii="宋体" w:hAnsi="宋体" w:cs="宋体"/>
          <w:sz w:val="24"/>
        </w:rPr>
        <w:t>6.严格执行安全生产各项规章制度，杜绝违章作业，试验过程将按照相关标准和要求进行，包括有关安全设施的设置、实施和资料的准备等。</w:t>
      </w:r>
    </w:p>
    <w:p>
      <w:pPr>
        <w:widowControl/>
        <w:tabs>
          <w:tab w:val="left" w:pos="851"/>
        </w:tabs>
        <w:adjustRightInd w:val="0"/>
        <w:snapToGrid w:val="0"/>
        <w:spacing w:line="384" w:lineRule="auto"/>
        <w:ind w:firstLine="482" w:firstLineChars="200"/>
        <w:jc w:val="left"/>
        <w:rPr>
          <w:rFonts w:ascii="宋体" w:hAnsi="宋体" w:cs="宋体"/>
          <w:sz w:val="24"/>
        </w:rPr>
      </w:pPr>
      <w:r>
        <w:rPr>
          <w:rFonts w:hint="eastAsia" w:ascii="宋体" w:hAnsi="宋体" w:cs="宋体"/>
          <w:b/>
          <w:bCs/>
          <w:sz w:val="24"/>
        </w:rPr>
        <w:t>第七条</w:t>
      </w:r>
      <w:r>
        <w:rPr>
          <w:rFonts w:ascii="宋体" w:hAnsi="宋体" w:cs="宋体"/>
          <w:b/>
          <w:bCs/>
          <w:sz w:val="24"/>
        </w:rPr>
        <w:t xml:space="preserve"> </w:t>
      </w:r>
      <w:r>
        <w:rPr>
          <w:rFonts w:hint="eastAsia" w:ascii="宋体" w:hAnsi="宋体" w:cs="宋体"/>
          <w:b/>
          <w:bCs/>
          <w:sz w:val="24"/>
        </w:rPr>
        <w:t>合同总价及支付方式</w:t>
      </w:r>
    </w:p>
    <w:p>
      <w:pPr>
        <w:spacing w:after="160" w:line="460" w:lineRule="exact"/>
        <w:ind w:firstLine="480" w:firstLineChars="200"/>
        <w:rPr>
          <w:rFonts w:ascii="宋体" w:hAnsi="宋体" w:cs="宋体"/>
          <w:sz w:val="24"/>
        </w:rPr>
      </w:pPr>
      <w:r>
        <w:rPr>
          <w:rFonts w:hint="eastAsia" w:ascii="宋体" w:hAnsi="宋体" w:cs="宋体"/>
          <w:sz w:val="24"/>
        </w:rPr>
        <w:t>6.1支付方式：由</w:t>
      </w:r>
      <w:r>
        <w:rPr>
          <w:rFonts w:hint="eastAsia" w:ascii="宋体" w:hAnsi="宋体" w:cs="宋体"/>
          <w:sz w:val="24"/>
          <w:lang w:val="en-US" w:eastAsia="zh-CN"/>
        </w:rPr>
        <w:t>甲方</w:t>
      </w:r>
      <w:r>
        <w:rPr>
          <w:rFonts w:hint="eastAsia" w:ascii="宋体" w:hAnsi="宋体" w:cs="宋体"/>
          <w:sz w:val="24"/>
        </w:rPr>
        <w:t>支付。</w:t>
      </w:r>
    </w:p>
    <w:p>
      <w:pPr>
        <w:spacing w:after="160" w:line="460" w:lineRule="exact"/>
        <w:ind w:firstLine="480" w:firstLineChars="200"/>
        <w:rPr>
          <w:rFonts w:ascii="宋体" w:hAnsi="宋体" w:cs="宋体"/>
          <w:sz w:val="24"/>
          <w:u w:val="single"/>
        </w:rPr>
      </w:pPr>
      <w:r>
        <w:rPr>
          <w:rFonts w:hint="eastAsia" w:ascii="宋体" w:hAnsi="宋体" w:cs="宋体"/>
          <w:sz w:val="24"/>
        </w:rPr>
        <w:t>6.1.1合同暂定金额为人民币（大写）：</w:t>
      </w:r>
      <w:r>
        <w:rPr>
          <w:rFonts w:hint="eastAsia" w:ascii="宋体" w:hAnsi="宋体" w:cs="宋体"/>
          <w:sz w:val="24"/>
          <w:u w:val="single"/>
        </w:rPr>
        <w:t xml:space="preserve">                    </w:t>
      </w:r>
      <w:r>
        <w:rPr>
          <w:rFonts w:hint="eastAsia" w:ascii="宋体" w:hAnsi="宋体" w:cs="宋体"/>
          <w:sz w:val="24"/>
        </w:rPr>
        <w:t xml:space="preserve">，（小写）：¥ </w:t>
      </w:r>
      <w:r>
        <w:rPr>
          <w:rFonts w:hint="eastAsia" w:ascii="宋体" w:hAnsi="宋体" w:cs="宋体"/>
          <w:sz w:val="24"/>
          <w:u w:val="single"/>
        </w:rPr>
        <w:t xml:space="preserve">                元 （本合同价款仅作为签约依据，最终合同价格依据本合同结算条款计算得出。）</w:t>
      </w:r>
    </w:p>
    <w:p>
      <w:pPr>
        <w:spacing w:after="160" w:line="460" w:lineRule="exact"/>
        <w:ind w:firstLine="480" w:firstLineChars="200"/>
        <w:rPr>
          <w:rFonts w:ascii="宋体" w:hAnsi="宋体" w:cs="宋体"/>
          <w:sz w:val="24"/>
        </w:rPr>
      </w:pPr>
      <w:r>
        <w:rPr>
          <w:rFonts w:hint="eastAsia" w:ascii="宋体" w:hAnsi="宋体" w:cs="宋体"/>
          <w:sz w:val="24"/>
        </w:rPr>
        <w:t>6</w:t>
      </w:r>
      <w:r>
        <w:rPr>
          <w:rFonts w:ascii="宋体" w:hAnsi="宋体" w:cs="宋体"/>
          <w:sz w:val="24"/>
        </w:rPr>
        <w:t>.1.2</w:t>
      </w:r>
      <w:r>
        <w:rPr>
          <w:rFonts w:hint="eastAsia" w:ascii="宋体" w:hAnsi="宋体" w:cs="宋体"/>
          <w:sz w:val="24"/>
        </w:rPr>
        <w:t>本合同约定的价格为含税价价格（税率    %），合同履行期间国家税率调整的，不含税价不变，价税合计相应调整，以开具发票的时间为准。</w:t>
      </w:r>
    </w:p>
    <w:p>
      <w:pPr>
        <w:spacing w:line="384"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w:t>
      </w:r>
      <w:r>
        <w:rPr>
          <w:rFonts w:hint="eastAsia" w:ascii="宋体" w:hAnsi="宋体" w:cs="宋体"/>
          <w:sz w:val="24"/>
        </w:rPr>
        <w:t>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.3</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w:t>
      </w:r>
    </w:p>
    <w:p>
      <w:pPr>
        <w:spacing w:line="384" w:lineRule="auto"/>
        <w:ind w:firstLine="960" w:firstLineChars="400"/>
        <w:rPr>
          <w:rFonts w:ascii="宋体" w:hAnsi="宋体" w:cs="宋体"/>
          <w:sz w:val="24"/>
        </w:rPr>
      </w:pPr>
      <w:r>
        <w:rPr>
          <w:rFonts w:hint="eastAsia" w:ascii="宋体" w:hAnsi="宋体" w:cs="宋体"/>
          <w:sz w:val="24"/>
        </w:rPr>
        <w:t>地址：</w:t>
      </w:r>
    </w:p>
    <w:p>
      <w:pPr>
        <w:spacing w:line="384"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.4</w:t>
      </w:r>
      <w:r>
        <w:rPr>
          <w:rFonts w:hint="eastAsia" w:ascii="宋体" w:hAnsi="宋体" w:cs="宋体"/>
          <w:sz w:val="24"/>
        </w:rPr>
        <w:t>.预付款的支付：</w:t>
      </w:r>
      <w:r>
        <w:rPr>
          <w:rFonts w:hint="eastAsia" w:cs="仿宋_GB2312" w:asciiTheme="minorEastAsia" w:hAnsiTheme="minorEastAsia"/>
          <w:sz w:val="28"/>
          <w:szCs w:val="28"/>
        </w:rPr>
        <w:t xml:space="preserve"> </w:t>
      </w:r>
      <w:r>
        <w:rPr>
          <w:rFonts w:cs="仿宋_GB2312" w:asciiTheme="minorEastAsia" w:hAnsiTheme="minorEastAsia"/>
          <w:sz w:val="28"/>
          <w:szCs w:val="28"/>
          <w:lang w:val="zh-CN"/>
        </w:rPr>
        <w:sym w:font="Wingdings" w:char="00FE"/>
      </w:r>
      <w:r>
        <w:rPr>
          <w:rFonts w:hint="eastAsia" w:ascii="宋体" w:hAnsi="宋体" w:cs="宋体"/>
          <w:sz w:val="24"/>
        </w:rPr>
        <w:t xml:space="preserve">无； </w:t>
      </w:r>
      <w:r>
        <w:rPr>
          <w:rFonts w:hint="eastAsia" w:ascii="宋体" w:hAnsi="宋体" w:cs="宋体"/>
          <w:sz w:val="24"/>
        </w:rPr>
        <w:sym w:font="Wingdings 2" w:char="00A3"/>
      </w:r>
      <w:r>
        <w:rPr>
          <w:rFonts w:hint="eastAsia" w:ascii="宋体" w:hAnsi="宋体" w:cs="宋体"/>
          <w:sz w:val="24"/>
        </w:rPr>
        <w:t>有,合同签订后,乙方根据甲方暂定金额的30%分别开具增值税专用发票给甲方，甲方收到发票后在15个工作日内分别按发票金额支付预付款(乙方提交相应额度的预付款保函，预付款保函在扣减完后予以返还)。</w:t>
      </w:r>
    </w:p>
    <w:p>
      <w:pPr>
        <w:spacing w:line="384"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.5</w:t>
      </w:r>
      <w:r>
        <w:rPr>
          <w:rFonts w:hint="eastAsia" w:ascii="宋体" w:hAnsi="宋体" w:cs="宋体"/>
          <w:sz w:val="24"/>
        </w:rPr>
        <w:t>.计价方式：合同期结束，并且乙方已完成合同服务内容，乙方应根据合同期内实际工程量与每项服务固定价格的乘积得出甲方最终服务结算金额，若合同结算价超合同暂定总价，双方另行签订补充协议。乙方须扣减预付款后分别按甲方结算金额开具增值税专用发票（本合同签订而需缴纳的印花税及提供服务过程中所需的所有税费全部由乙方承担），甲方收到乙方开具的增值税专用发票、请款报告及工程量清单后30日内付清最终服务结算金额。</w:t>
      </w:r>
    </w:p>
    <w:p>
      <w:pPr>
        <w:pStyle w:val="9"/>
        <w:spacing w:line="384" w:lineRule="auto"/>
        <w:ind w:firstLine="480" w:firstLineChars="200"/>
        <w:outlineLvl w:val="1"/>
        <w:rPr>
          <w:rFonts w:asciiTheme="minorEastAsia" w:hAnsiTheme="minorEastAsia" w:eastAsiaTheme="minorEastAsia" w:cstheme="minorEastAsia"/>
          <w:sz w:val="24"/>
        </w:rPr>
      </w:pPr>
      <w:r>
        <w:rPr>
          <w:rFonts w:hint="eastAsia" w:hAnsi="宋体" w:cs="宋体"/>
          <w:sz w:val="24"/>
        </w:rPr>
        <w:t>6.</w:t>
      </w:r>
      <w:r>
        <w:rPr>
          <w:rFonts w:hAnsi="宋体" w:cs="宋体"/>
          <w:sz w:val="24"/>
        </w:rPr>
        <w:t>6</w:t>
      </w:r>
      <w:r>
        <w:rPr>
          <w:rFonts w:hint="eastAsia" w:asciiTheme="minorEastAsia" w:hAnsiTheme="minorEastAsia" w:eastAsiaTheme="minorEastAsia" w:cstheme="minorEastAsia"/>
          <w:sz w:val="24"/>
        </w:rPr>
        <w:t xml:space="preserve">付款方式： </w:t>
      </w:r>
      <w:r>
        <w:rPr>
          <w:rFonts w:hint="eastAsia" w:ascii="Segoe UI Emoji" w:hAnsi="Segoe UI Emoji" w:eastAsia="Segoe UI Emoji" w:cs="宋体"/>
          <w:sz w:val="24"/>
        </w:rPr>
        <w:sym w:font="Wingdings 2" w:char="F052"/>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spacing w:line="360" w:lineRule="auto"/>
        <w:ind w:firstLine="482" w:firstLineChars="200"/>
        <w:rPr>
          <w:rFonts w:ascii="宋体" w:hAnsi="宋体"/>
          <w:b/>
          <w:color w:val="000000"/>
          <w:sz w:val="24"/>
        </w:rPr>
      </w:pPr>
      <w:r>
        <w:rPr>
          <w:rFonts w:hint="eastAsia" w:ascii="宋体" w:hAnsi="宋体"/>
          <w:b/>
          <w:color w:val="000000"/>
          <w:sz w:val="24"/>
        </w:rPr>
        <w:t>第八条  双方权利、义务</w:t>
      </w:r>
    </w:p>
    <w:p>
      <w:pPr>
        <w:spacing w:line="360" w:lineRule="auto"/>
        <w:ind w:firstLine="480" w:firstLineChars="200"/>
        <w:rPr>
          <w:rFonts w:ascii="宋体" w:hAnsi="宋体" w:eastAsia="宋体" w:cs="宋体"/>
          <w:sz w:val="24"/>
        </w:rPr>
      </w:pPr>
      <w:r>
        <w:rPr>
          <w:rFonts w:hint="eastAsia" w:ascii="宋体" w:hAnsi="宋体" w:eastAsia="宋体" w:cs="宋体"/>
          <w:sz w:val="24"/>
        </w:rPr>
        <w:t>1.对乙方提出的配件更换或工程维修，甲方应在收到乙方提出的清单后7个工作日内决定是否进行更换或维修。</w:t>
      </w:r>
    </w:p>
    <w:p>
      <w:pPr>
        <w:spacing w:line="360" w:lineRule="auto"/>
        <w:ind w:firstLine="480" w:firstLineChars="200"/>
        <w:rPr>
          <w:rFonts w:ascii="宋体" w:hAnsi="宋体" w:eastAsia="宋体" w:cs="宋体"/>
          <w:sz w:val="24"/>
        </w:rPr>
      </w:pPr>
      <w:r>
        <w:rPr>
          <w:rFonts w:hint="eastAsia" w:ascii="宋体" w:hAnsi="宋体" w:eastAsia="宋体" w:cs="宋体"/>
          <w:sz w:val="24"/>
        </w:rPr>
        <w:t>2.甲方应按质检局、质监局和建设部有关的起重机使用管理规定和办法来使用和管理起重机设备。若因甲方操作使用不当而造成起重机损坏，需进行维修等，其维修费用由甲方负责。</w:t>
      </w:r>
    </w:p>
    <w:p>
      <w:pPr>
        <w:spacing w:line="360" w:lineRule="auto"/>
        <w:ind w:firstLine="480" w:firstLineChars="200"/>
        <w:rPr>
          <w:rFonts w:ascii="宋体" w:hAnsi="宋体" w:eastAsia="宋体" w:cs="宋体"/>
          <w:sz w:val="24"/>
        </w:rPr>
      </w:pPr>
      <w:r>
        <w:rPr>
          <w:rFonts w:hint="eastAsia" w:ascii="宋体" w:hAnsi="宋体" w:eastAsia="宋体" w:cs="宋体"/>
          <w:sz w:val="24"/>
        </w:rPr>
        <w:t>3.在保养期间内，乙方保养人员应按规定的时间和保养项目进行保养，每次保养工作完成后，甲方应在乙方保养人员的《起重机定期维修保养点检查表》（附件4）上签认。</w:t>
      </w:r>
    </w:p>
    <w:p>
      <w:pPr>
        <w:spacing w:line="360" w:lineRule="auto"/>
        <w:ind w:firstLine="480" w:firstLineChars="200"/>
        <w:rPr>
          <w:rFonts w:ascii="宋体" w:hAnsi="宋体" w:eastAsia="宋体" w:cs="宋体"/>
          <w:sz w:val="24"/>
        </w:rPr>
      </w:pPr>
      <w:r>
        <w:rPr>
          <w:rFonts w:hint="eastAsia" w:ascii="宋体" w:hAnsi="宋体" w:eastAsia="宋体" w:cs="宋体"/>
          <w:sz w:val="24"/>
        </w:rPr>
        <w:t>4.乙方在检查起重机时，如确认需维修或更换零配件时，乙方应书面通知甲方提出维修项目、更换零配件的清单，确定维修期限及其费用，在征询甲方同意后才能进行更换、维修工作。</w:t>
      </w:r>
    </w:p>
    <w:p>
      <w:pPr>
        <w:spacing w:line="360" w:lineRule="auto"/>
        <w:ind w:firstLine="480" w:firstLineChars="200"/>
        <w:rPr>
          <w:rFonts w:ascii="宋体" w:hAnsi="宋体" w:eastAsia="宋体" w:cs="宋体"/>
          <w:sz w:val="24"/>
        </w:rPr>
      </w:pPr>
      <w:r>
        <w:rPr>
          <w:rFonts w:hint="eastAsia" w:ascii="宋体" w:hAnsi="宋体" w:eastAsia="宋体" w:cs="宋体"/>
          <w:sz w:val="24"/>
        </w:rPr>
        <w:t>5.乙方负责办理维保合同范围内甲方起重机的年审手续，检验相关费由乙方负责。</w:t>
      </w:r>
    </w:p>
    <w:p>
      <w:pPr>
        <w:spacing w:line="384" w:lineRule="auto"/>
        <w:ind w:firstLine="482"/>
        <w:jc w:val="left"/>
        <w:rPr>
          <w:rFonts w:ascii="宋体" w:hAnsi="宋体" w:eastAsia="宋体" w:cs="宋体"/>
          <w:b/>
          <w:bCs/>
          <w:sz w:val="24"/>
        </w:rPr>
      </w:pPr>
      <w:bookmarkStart w:id="6" w:name="_Toc520190043"/>
      <w:bookmarkStart w:id="7" w:name="_Toc474245229"/>
      <w:bookmarkStart w:id="8" w:name="_Toc518993003"/>
      <w:r>
        <w:rPr>
          <w:rFonts w:hint="eastAsia" w:ascii="宋体" w:hAnsi="宋体" w:eastAsia="宋体" w:cs="宋体"/>
          <w:b/>
          <w:bCs/>
          <w:sz w:val="24"/>
        </w:rPr>
        <w:t>第九条 违约责任</w:t>
      </w:r>
    </w:p>
    <w:p>
      <w:pPr>
        <w:spacing w:line="384" w:lineRule="auto"/>
        <w:ind w:firstLine="482"/>
        <w:jc w:val="left"/>
        <w:rPr>
          <w:rFonts w:ascii="宋体" w:hAnsi="宋体" w:eastAsia="宋体" w:cs="宋体"/>
          <w:sz w:val="24"/>
        </w:rPr>
      </w:pPr>
      <w:r>
        <w:rPr>
          <w:rFonts w:hint="eastAsia" w:ascii="宋体" w:hAnsi="宋体" w:eastAsia="宋体" w:cs="宋体"/>
          <w:sz w:val="24"/>
        </w:rPr>
        <w:t>1.甲乙任何一方不履行合同义务或者履行合同义务不符合约定的，应当承担继续履行、采取补救措施或者赔偿损失等违约责任。</w:t>
      </w:r>
    </w:p>
    <w:p>
      <w:pPr>
        <w:spacing w:line="384" w:lineRule="auto"/>
        <w:ind w:firstLine="482"/>
        <w:jc w:val="left"/>
        <w:rPr>
          <w:rFonts w:ascii="宋体" w:hAnsi="宋体" w:eastAsia="宋体" w:cs="宋体"/>
          <w:sz w:val="24"/>
        </w:rPr>
      </w:pPr>
      <w:r>
        <w:rPr>
          <w:rFonts w:hint="eastAsia" w:ascii="宋体" w:hAnsi="宋体" w:eastAsia="宋体" w:cs="宋体"/>
          <w:sz w:val="24"/>
        </w:rPr>
        <w:t>2.乙方违反本合同导致本合同无法继续履行的，违约方需赔偿守约方违约金人民币10000元，若该违约金不足以弥补守约方实际损失的，违约方应赔偿守约方所有实际损失。</w:t>
      </w:r>
    </w:p>
    <w:p>
      <w:pPr>
        <w:spacing w:line="384" w:lineRule="auto"/>
        <w:ind w:firstLine="482"/>
        <w:jc w:val="left"/>
        <w:rPr>
          <w:rFonts w:ascii="宋体" w:hAnsi="宋体" w:eastAsia="宋体" w:cs="宋体"/>
          <w:sz w:val="24"/>
        </w:rPr>
      </w:pPr>
      <w:r>
        <w:rPr>
          <w:rFonts w:hint="eastAsia" w:ascii="宋体" w:hAnsi="宋体" w:eastAsia="宋体" w:cs="宋体"/>
          <w:sz w:val="24"/>
        </w:rPr>
        <w:t>3.乙方工作人员应遵守甲方的有关制度，并积极履行合同义务，如若违反，甲方出具整改通知单，并每单扣罚300元，若乙方重犯，每单扣罚500元。</w:t>
      </w:r>
    </w:p>
    <w:p>
      <w:pPr>
        <w:spacing w:line="384" w:lineRule="auto"/>
        <w:ind w:firstLine="482"/>
        <w:jc w:val="left"/>
        <w:rPr>
          <w:rFonts w:ascii="宋体" w:hAnsi="宋体" w:eastAsia="宋体" w:cs="宋体"/>
          <w:sz w:val="24"/>
        </w:rPr>
      </w:pPr>
      <w:r>
        <w:rPr>
          <w:rFonts w:hint="eastAsia" w:ascii="宋体" w:hAnsi="宋体" w:eastAsia="宋体" w:cs="宋体"/>
          <w:sz w:val="24"/>
        </w:rPr>
        <w:t>4.乙方违反本合同规定而造成起重机发生事故，由乙方负责无偿修复，并承担其后果。</w:t>
      </w:r>
    </w:p>
    <w:p>
      <w:pPr>
        <w:spacing w:line="384" w:lineRule="auto"/>
        <w:ind w:firstLine="482"/>
        <w:jc w:val="left"/>
        <w:rPr>
          <w:rFonts w:ascii="宋体" w:hAnsi="宋体" w:eastAsia="宋体" w:cs="宋体"/>
          <w:b/>
          <w:bCs/>
          <w:sz w:val="24"/>
        </w:rPr>
      </w:pPr>
      <w:r>
        <w:rPr>
          <w:rFonts w:hint="eastAsia" w:ascii="宋体" w:hAnsi="宋体" w:eastAsia="宋体" w:cs="宋体"/>
          <w:sz w:val="24"/>
        </w:rPr>
        <w:t>6.保养合同期内任何一方需提前终止合同的，应提前一个月以书面形式通知对方，经协商一致后才能提前终止合同。</w:t>
      </w:r>
    </w:p>
    <w:p>
      <w:pPr>
        <w:spacing w:line="384" w:lineRule="auto"/>
        <w:ind w:firstLine="482"/>
        <w:jc w:val="left"/>
        <w:rPr>
          <w:rFonts w:ascii="宋体" w:hAnsi="宋体" w:eastAsia="宋体" w:cs="宋体"/>
          <w:b/>
          <w:bCs/>
          <w:sz w:val="24"/>
        </w:rPr>
      </w:pPr>
      <w:r>
        <w:rPr>
          <w:rFonts w:hint="eastAsia" w:ascii="宋体" w:hAnsi="宋体" w:eastAsia="宋体" w:cs="宋体"/>
          <w:b/>
          <w:bCs/>
          <w:sz w:val="24"/>
        </w:rPr>
        <w:t>第十条  合同的解除</w:t>
      </w:r>
    </w:p>
    <w:p>
      <w:pPr>
        <w:spacing w:line="384" w:lineRule="auto"/>
        <w:ind w:firstLine="482"/>
        <w:jc w:val="left"/>
        <w:rPr>
          <w:rFonts w:ascii="宋体" w:hAnsi="宋体" w:eastAsia="宋体" w:cs="宋体"/>
          <w:sz w:val="24"/>
        </w:rPr>
      </w:pPr>
      <w:r>
        <w:rPr>
          <w:rFonts w:hint="eastAsia" w:ascii="宋体" w:hAnsi="宋体" w:eastAsia="宋体" w:cs="宋体"/>
          <w:sz w:val="24"/>
        </w:rPr>
        <w:t>（一）甲</w:t>
      </w:r>
      <w:r>
        <w:rPr>
          <w:rFonts w:hint="eastAsia" w:ascii="微软雅黑" w:hAnsi="微软雅黑" w:eastAsia="微软雅黑" w:cs="微软雅黑"/>
          <w:sz w:val="24"/>
        </w:rPr>
        <w:t>⼄</w:t>
      </w:r>
      <w:r>
        <w:rPr>
          <w:rFonts w:hint="eastAsia" w:ascii="宋体" w:hAnsi="宋体" w:eastAsia="宋体" w:cs="宋体"/>
          <w:sz w:val="24"/>
        </w:rPr>
        <w:t>双方协商一致，可以解除合同。</w:t>
      </w:r>
    </w:p>
    <w:p>
      <w:pPr>
        <w:spacing w:line="384" w:lineRule="auto"/>
        <w:ind w:firstLine="482"/>
        <w:jc w:val="left"/>
        <w:rPr>
          <w:rFonts w:ascii="宋体" w:hAnsi="宋体" w:eastAsia="宋体" w:cs="宋体"/>
          <w:sz w:val="24"/>
        </w:rPr>
      </w:pPr>
      <w:r>
        <w:rPr>
          <w:rFonts w:hint="eastAsia" w:ascii="宋体" w:hAnsi="宋体" w:eastAsia="宋体" w:cs="宋体"/>
          <w:sz w:val="24"/>
        </w:rPr>
        <w:t>（</w:t>
      </w:r>
      <w:r>
        <w:rPr>
          <w:rFonts w:hint="eastAsia" w:ascii="微软雅黑" w:hAnsi="微软雅黑" w:eastAsia="微软雅黑" w:cs="微软雅黑"/>
          <w:sz w:val="24"/>
        </w:rPr>
        <w:t>⼆</w:t>
      </w:r>
      <w:r>
        <w:rPr>
          <w:rFonts w:hint="eastAsia" w:ascii="宋体" w:hAnsi="宋体" w:eastAsia="宋体" w:cs="宋体"/>
          <w:sz w:val="24"/>
        </w:rPr>
        <w:t>）任何一方严重违约导致合同无法继续履行的，另一方可以解除合同。此外</w:t>
      </w:r>
    </w:p>
    <w:p>
      <w:pPr>
        <w:spacing w:line="384" w:lineRule="auto"/>
        <w:ind w:firstLine="482"/>
        <w:jc w:val="left"/>
        <w:rPr>
          <w:rFonts w:ascii="宋体" w:hAnsi="宋体" w:eastAsia="宋体" w:cs="宋体"/>
          <w:sz w:val="24"/>
        </w:rPr>
      </w:pPr>
      <w:r>
        <w:rPr>
          <w:rFonts w:hint="eastAsia" w:ascii="宋体" w:hAnsi="宋体" w:eastAsia="宋体" w:cs="宋体"/>
          <w:sz w:val="24"/>
        </w:rPr>
        <w:t>任何一方不得单方解除合同。</w:t>
      </w:r>
    </w:p>
    <w:p>
      <w:pPr>
        <w:spacing w:line="384" w:lineRule="auto"/>
        <w:ind w:firstLine="482"/>
        <w:jc w:val="left"/>
        <w:rPr>
          <w:rFonts w:ascii="宋体" w:hAnsi="宋体" w:eastAsia="宋体" w:cs="宋体"/>
          <w:b/>
          <w:bCs/>
          <w:sz w:val="24"/>
        </w:rPr>
      </w:pPr>
      <w:r>
        <w:rPr>
          <w:rFonts w:hint="eastAsia" w:ascii="宋体" w:hAnsi="宋体" w:eastAsia="宋体" w:cs="宋体"/>
          <w:b/>
          <w:bCs/>
          <w:sz w:val="24"/>
        </w:rPr>
        <w:t>第</w:t>
      </w:r>
      <w:r>
        <w:rPr>
          <w:rFonts w:hint="eastAsia" w:ascii="微软雅黑" w:hAnsi="微软雅黑" w:eastAsia="微软雅黑" w:cs="微软雅黑"/>
          <w:b/>
          <w:bCs/>
          <w:sz w:val="24"/>
        </w:rPr>
        <w:t>⼗一</w:t>
      </w:r>
      <w:r>
        <w:rPr>
          <w:rFonts w:hint="eastAsia" w:ascii="宋体" w:hAnsi="宋体" w:eastAsia="宋体" w:cs="宋体"/>
          <w:b/>
          <w:bCs/>
          <w:sz w:val="24"/>
        </w:rPr>
        <w:t>条  争议解决方式</w:t>
      </w:r>
    </w:p>
    <w:p>
      <w:pPr>
        <w:spacing w:line="384" w:lineRule="auto"/>
        <w:ind w:firstLine="482"/>
        <w:jc w:val="left"/>
        <w:rPr>
          <w:rFonts w:ascii="宋体" w:hAnsi="宋体" w:eastAsia="宋体" w:cs="宋体"/>
          <w:sz w:val="24"/>
        </w:rPr>
      </w:pPr>
      <w:r>
        <w:rPr>
          <w:rFonts w:hint="eastAsia" w:ascii="宋体" w:hAnsi="宋体" w:eastAsia="宋体" w:cs="宋体"/>
          <w:sz w:val="24"/>
        </w:rPr>
        <w:t>本合同在履行过程中发</w:t>
      </w:r>
      <w:r>
        <w:rPr>
          <w:rFonts w:hint="eastAsia" w:ascii="微软雅黑" w:hAnsi="微软雅黑" w:eastAsia="微软雅黑" w:cs="微软雅黑"/>
          <w:sz w:val="24"/>
        </w:rPr>
        <w:t>⽣</w:t>
      </w:r>
      <w:r>
        <w:rPr>
          <w:rFonts w:hint="eastAsia" w:ascii="宋体" w:hAnsi="宋体" w:eastAsia="宋体" w:cs="宋体"/>
          <w:sz w:val="24"/>
        </w:rPr>
        <w:t>的争议，由双方当事人协商解决，协商不成的，双方均可向甲方所在地人民法院起诉。</w:t>
      </w:r>
    </w:p>
    <w:p>
      <w:pPr>
        <w:spacing w:line="384" w:lineRule="auto"/>
        <w:ind w:firstLine="482"/>
        <w:jc w:val="left"/>
        <w:rPr>
          <w:rFonts w:ascii="宋体" w:hAnsi="宋体" w:eastAsia="宋体" w:cs="宋体"/>
          <w:b/>
          <w:bCs/>
          <w:sz w:val="24"/>
        </w:rPr>
      </w:pPr>
      <w:r>
        <w:rPr>
          <w:rFonts w:hint="eastAsia" w:ascii="宋体" w:hAnsi="宋体" w:eastAsia="宋体" w:cs="宋体"/>
          <w:b/>
          <w:bCs/>
          <w:sz w:val="24"/>
        </w:rPr>
        <w:t>第</w:t>
      </w:r>
      <w:r>
        <w:rPr>
          <w:rFonts w:hint="eastAsia" w:ascii="微软雅黑" w:hAnsi="微软雅黑" w:eastAsia="微软雅黑" w:cs="微软雅黑"/>
          <w:b/>
          <w:bCs/>
          <w:sz w:val="24"/>
        </w:rPr>
        <w:t>⼗</w:t>
      </w:r>
      <w:r>
        <w:rPr>
          <w:rFonts w:hint="eastAsia" w:ascii="宋体" w:hAnsi="宋体" w:eastAsia="宋体" w:cs="宋体"/>
          <w:b/>
          <w:bCs/>
          <w:sz w:val="24"/>
        </w:rPr>
        <w:t>二条  附则</w:t>
      </w:r>
    </w:p>
    <w:p>
      <w:pPr>
        <w:spacing w:line="384" w:lineRule="auto"/>
        <w:ind w:firstLine="480" w:firstLineChars="200"/>
        <w:jc w:val="left"/>
        <w:rPr>
          <w:rFonts w:ascii="宋体" w:hAnsi="宋体" w:eastAsia="宋体" w:cs="宋体"/>
          <w:sz w:val="24"/>
        </w:rPr>
      </w:pPr>
      <w:r>
        <w:rPr>
          <w:rFonts w:hint="eastAsia" w:ascii="宋体" w:hAnsi="宋体" w:eastAsia="宋体" w:cs="宋体"/>
          <w:sz w:val="24"/>
        </w:rPr>
        <w:t>本合同自双方签名盖章</w:t>
      </w:r>
      <w:r>
        <w:rPr>
          <w:rFonts w:hint="eastAsia" w:ascii="微软雅黑" w:hAnsi="微软雅黑" w:eastAsia="微软雅黑" w:cs="微软雅黑"/>
          <w:sz w:val="24"/>
        </w:rPr>
        <w:t>⽣</w:t>
      </w:r>
      <w:r>
        <w:rPr>
          <w:rFonts w:hint="eastAsia" w:ascii="宋体" w:hAnsi="宋体" w:eastAsia="宋体" w:cs="宋体"/>
          <w:sz w:val="24"/>
        </w:rPr>
        <w:t>效。本合同</w:t>
      </w:r>
      <w:r>
        <w:rPr>
          <w:rFonts w:hint="eastAsia" w:ascii="微软雅黑" w:hAnsi="微软雅黑" w:eastAsia="微软雅黑" w:cs="微软雅黑"/>
          <w:sz w:val="24"/>
        </w:rPr>
        <w:t>⽣</w:t>
      </w:r>
      <w:r>
        <w:rPr>
          <w:rFonts w:hint="eastAsia" w:ascii="宋体" w:hAnsi="宋体" w:eastAsia="宋体" w:cs="宋体"/>
          <w:sz w:val="24"/>
        </w:rPr>
        <w:t>效后，双方对合同内容的变更或补充应当采取书面形式，并经双方签名盖章确认，作为本合同的附件。附件与本合同具有同等的法律效</w:t>
      </w:r>
      <w:r>
        <w:rPr>
          <w:rFonts w:hint="eastAsia" w:ascii="微软雅黑" w:hAnsi="微软雅黑" w:eastAsia="微软雅黑" w:cs="微软雅黑"/>
          <w:sz w:val="24"/>
        </w:rPr>
        <w:t>⼒</w:t>
      </w:r>
      <w:r>
        <w:rPr>
          <w:rFonts w:hint="eastAsia" w:ascii="宋体" w:hAnsi="宋体" w:eastAsia="宋体" w:cs="宋体"/>
          <w:sz w:val="24"/>
        </w:rPr>
        <w:t>。</w:t>
      </w:r>
    </w:p>
    <w:p>
      <w:pPr>
        <w:spacing w:line="384" w:lineRule="auto"/>
        <w:ind w:firstLine="482"/>
        <w:jc w:val="left"/>
        <w:rPr>
          <w:rFonts w:ascii="宋体" w:hAnsi="宋体" w:eastAsia="宋体" w:cs="宋体"/>
          <w:sz w:val="24"/>
        </w:rPr>
      </w:pPr>
      <w:r>
        <w:rPr>
          <w:rFonts w:hint="eastAsia" w:ascii="宋体" w:hAnsi="宋体" w:eastAsia="宋体" w:cs="宋体"/>
          <w:sz w:val="24"/>
        </w:rPr>
        <w:t>本合同一式</w:t>
      </w:r>
      <w:r>
        <w:rPr>
          <w:rFonts w:hint="eastAsia" w:ascii="宋体" w:hAnsi="宋体" w:eastAsia="宋体" w:cs="宋体"/>
          <w:sz w:val="24"/>
          <w:u w:val="single"/>
        </w:rPr>
        <w:t>陆</w:t>
      </w:r>
      <w:r>
        <w:rPr>
          <w:rFonts w:hint="eastAsia" w:ascii="宋体" w:hAnsi="宋体" w:eastAsia="宋体" w:cs="宋体"/>
          <w:sz w:val="24"/>
        </w:rPr>
        <w:t>份，甲方执</w:t>
      </w:r>
      <w:r>
        <w:rPr>
          <w:rFonts w:hint="eastAsia" w:ascii="宋体" w:hAnsi="宋体" w:eastAsia="宋体" w:cs="宋体"/>
          <w:sz w:val="24"/>
          <w:u w:val="single"/>
        </w:rPr>
        <w:t>肆</w:t>
      </w:r>
      <w:r>
        <w:rPr>
          <w:rFonts w:hint="eastAsia" w:ascii="宋体" w:hAnsi="宋体" w:eastAsia="宋体" w:cs="宋体"/>
          <w:sz w:val="24"/>
        </w:rPr>
        <w:t>份，乙方执</w:t>
      </w:r>
      <w:r>
        <w:rPr>
          <w:rFonts w:hint="eastAsia" w:ascii="宋体" w:hAnsi="宋体" w:eastAsia="宋体" w:cs="宋体"/>
          <w:sz w:val="24"/>
          <w:u w:val="single"/>
        </w:rPr>
        <w:t>贰</w:t>
      </w:r>
      <w:r>
        <w:rPr>
          <w:rFonts w:hint="eastAsia" w:ascii="宋体" w:hAnsi="宋体" w:eastAsia="宋体" w:cs="宋体"/>
          <w:sz w:val="24"/>
        </w:rPr>
        <w:t>份，均具同等效</w:t>
      </w:r>
      <w:r>
        <w:rPr>
          <w:rFonts w:hint="eastAsia" w:ascii="微软雅黑" w:hAnsi="微软雅黑" w:eastAsia="微软雅黑" w:cs="微软雅黑"/>
          <w:sz w:val="24"/>
        </w:rPr>
        <w:t>⼒</w:t>
      </w:r>
      <w:r>
        <w:rPr>
          <w:rFonts w:hint="eastAsia" w:ascii="宋体" w:hAnsi="宋体" w:eastAsia="宋体" w:cs="宋体"/>
          <w:sz w:val="24"/>
        </w:rPr>
        <w:t>。</w:t>
      </w:r>
      <w:bookmarkEnd w:id="6"/>
      <w:bookmarkEnd w:id="7"/>
      <w:bookmarkEnd w:id="8"/>
    </w:p>
    <w:p>
      <w:pPr>
        <w:spacing w:line="384" w:lineRule="auto"/>
        <w:rPr>
          <w:rFonts w:ascii="宋体" w:hAnsi="宋体" w:eastAsia="宋体" w:cs="宋体"/>
          <w:sz w:val="24"/>
        </w:rPr>
      </w:pPr>
      <w:r>
        <w:rPr>
          <w:rFonts w:hint="eastAsia" w:ascii="宋体" w:hAnsi="宋体" w:eastAsia="宋体" w:cs="宋体"/>
          <w:sz w:val="24"/>
        </w:rPr>
        <w:t>附件：1.发包通知书</w:t>
      </w:r>
    </w:p>
    <w:p>
      <w:pPr>
        <w:spacing w:line="384" w:lineRule="auto"/>
        <w:ind w:firstLine="720" w:firstLineChars="300"/>
        <w:rPr>
          <w:rFonts w:ascii="宋体" w:hAnsi="宋体" w:eastAsia="宋体" w:cs="宋体"/>
          <w:sz w:val="24"/>
        </w:rPr>
      </w:pPr>
      <w:r>
        <w:rPr>
          <w:rFonts w:hint="eastAsia" w:ascii="宋体" w:hAnsi="宋体" w:eastAsia="宋体" w:cs="宋体"/>
          <w:sz w:val="24"/>
        </w:rPr>
        <w:t>2.廉洁协议</w:t>
      </w:r>
    </w:p>
    <w:p>
      <w:pPr>
        <w:spacing w:line="384" w:lineRule="auto"/>
        <w:ind w:firstLine="720" w:firstLineChars="300"/>
        <w:rPr>
          <w:rFonts w:ascii="宋体" w:hAnsi="宋体" w:eastAsia="宋体" w:cs="宋体"/>
          <w:sz w:val="24"/>
        </w:rPr>
      </w:pPr>
      <w:r>
        <w:rPr>
          <w:rFonts w:hint="eastAsia" w:ascii="宋体" w:hAnsi="宋体" w:eastAsia="宋体" w:cs="宋体"/>
          <w:sz w:val="24"/>
        </w:rPr>
        <w:t>3.营运场所施工安全协议书</w:t>
      </w:r>
    </w:p>
    <w:p>
      <w:pPr>
        <w:spacing w:line="384" w:lineRule="auto"/>
        <w:ind w:firstLine="720" w:firstLineChars="300"/>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w:t>
      </w:r>
      <w:r>
        <w:rPr>
          <w:rFonts w:hint="eastAsia" w:asciiTheme="minorEastAsia" w:hAnsiTheme="minorEastAsia"/>
          <w:color w:val="000000"/>
          <w:sz w:val="24"/>
          <w:szCs w:val="24"/>
        </w:rPr>
        <w:t>起重机定期保养点检查表</w:t>
      </w:r>
    </w:p>
    <w:p>
      <w:pPr>
        <w:pStyle w:val="24"/>
        <w:ind w:firstLine="720" w:firstLineChars="300"/>
        <w:rPr>
          <w:rFonts w:hAnsi="宋体" w:eastAsia="宋体"/>
        </w:rPr>
      </w:pPr>
      <w:r>
        <w:rPr>
          <w:rFonts w:hint="eastAsia" w:hAnsi="宋体" w:eastAsia="宋体"/>
        </w:rPr>
        <w:t>5.营业执照和特种设备安装改造维修许可证</w:t>
      </w:r>
    </w:p>
    <w:p>
      <w:pPr>
        <w:pStyle w:val="24"/>
        <w:ind w:firstLine="720" w:firstLineChars="300"/>
        <w:rPr>
          <w:rFonts w:hAnsi="宋体" w:eastAsia="宋体"/>
        </w:rPr>
      </w:pPr>
    </w:p>
    <w:p>
      <w:pPr>
        <w:spacing w:line="384" w:lineRule="auto"/>
        <w:rPr>
          <w:rFonts w:ascii="宋体" w:hAnsi="宋体" w:cs="宋体"/>
          <w:sz w:val="24"/>
        </w:rPr>
      </w:pPr>
      <w:r>
        <w:rPr>
          <w:rFonts w:hint="eastAsia" w:ascii="宋体" w:hAnsi="宋体" w:cs="宋体"/>
          <w:sz w:val="24"/>
        </w:rPr>
        <w:t xml:space="preserve">     </w:t>
      </w:r>
    </w:p>
    <w:p>
      <w:pPr>
        <w:spacing w:line="384" w:lineRule="auto"/>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ascii="宋体" w:hAnsi="宋体" w:cs="宋体"/>
          <w:sz w:val="24"/>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ascii="宋体" w:hAnsi="宋体" w:cs="宋体"/>
          <w:b/>
          <w:bCs/>
          <w:szCs w:val="21"/>
        </w:rPr>
      </w:pPr>
    </w:p>
    <w:p>
      <w:pPr>
        <w:spacing w:line="360" w:lineRule="auto"/>
        <w:rPr>
          <w:rFonts w:ascii="宋体" w:hAnsi="宋体" w:cs="宋体"/>
          <w:b/>
          <w:bCs/>
          <w:szCs w:val="21"/>
        </w:rPr>
      </w:pPr>
    </w:p>
    <w:p>
      <w:pPr>
        <w:pStyle w:val="24"/>
        <w:rPr>
          <w:rFonts w:hAnsi="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b/>
          <w:bCs/>
          <w:szCs w:val="21"/>
        </w:rPr>
      </w:pPr>
      <w:r>
        <w:rPr>
          <w:rFonts w:hint="eastAsia" w:ascii="宋体" w:hAnsi="宋体" w:cs="宋体"/>
          <w:b/>
          <w:bCs/>
          <w:szCs w:val="21"/>
        </w:rPr>
        <w:t>附件2  廉洁协议</w:t>
      </w:r>
    </w:p>
    <w:p>
      <w:pPr>
        <w:spacing w:line="360" w:lineRule="auto"/>
        <w:jc w:val="center"/>
        <w:rPr>
          <w:rFonts w:ascii="宋体" w:hAnsi="宋体"/>
          <w:b/>
          <w:sz w:val="32"/>
          <w:szCs w:val="32"/>
        </w:rPr>
      </w:pPr>
      <w:bookmarkStart w:id="9" w:name="_Toc387080836"/>
      <w:bookmarkStart w:id="10" w:name="_Toc389815031"/>
      <w:bookmarkStart w:id="11" w:name="_Toc389815339"/>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（合同名称）+（合同编号）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本协议一式捌份，甲方伍份，乙方三份。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40"/>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pStyle w:val="24"/>
        <w:rPr>
          <w:rFonts w:hAnsi="宋体"/>
          <w:b/>
          <w:szCs w:val="21"/>
        </w:rPr>
      </w:pPr>
    </w:p>
    <w:p>
      <w:pPr>
        <w:pStyle w:val="24"/>
        <w:rPr>
          <w:rFonts w:hAnsi="宋体"/>
          <w:b/>
          <w:szCs w:val="21"/>
        </w:rPr>
      </w:pPr>
    </w:p>
    <w:p>
      <w:pPr>
        <w:spacing w:line="360" w:lineRule="auto"/>
        <w:rPr>
          <w:rFonts w:ascii="宋体" w:hAnsi="宋体" w:eastAsia="宋体" w:cs="宋体"/>
          <w:b/>
          <w:bCs/>
          <w:szCs w:val="21"/>
        </w:rPr>
      </w:pPr>
    </w:p>
    <w:p>
      <w:pPr>
        <w:spacing w:line="360" w:lineRule="auto"/>
        <w:rPr>
          <w:rFonts w:ascii="宋体" w:hAnsi="宋体" w:eastAsia="宋体" w:cs="宋体"/>
          <w:b/>
          <w:bCs/>
          <w:szCs w:val="21"/>
        </w:rPr>
      </w:pPr>
    </w:p>
    <w:p>
      <w:pPr>
        <w:spacing w:line="360" w:lineRule="auto"/>
        <w:rPr>
          <w:rFonts w:ascii="宋体" w:hAnsi="宋体" w:eastAsia="宋体" w:cs="宋体"/>
          <w:b/>
          <w:bCs/>
          <w:szCs w:val="21"/>
        </w:rPr>
      </w:pPr>
    </w:p>
    <w:p>
      <w:pPr>
        <w:spacing w:line="360" w:lineRule="auto"/>
        <w:rPr>
          <w:rFonts w:ascii="宋体" w:hAnsi="宋体" w:eastAsia="宋体" w:cs="宋体"/>
          <w:b/>
          <w:bCs/>
          <w:szCs w:val="21"/>
        </w:rPr>
      </w:pPr>
    </w:p>
    <w:p>
      <w:pPr>
        <w:spacing w:line="360" w:lineRule="auto"/>
        <w:rPr>
          <w:rFonts w:ascii="宋体" w:hAnsi="宋体" w:eastAsia="宋体" w:cs="宋体"/>
          <w:b/>
          <w:bCs/>
          <w:szCs w:val="21"/>
        </w:rPr>
      </w:pPr>
    </w:p>
    <w:p>
      <w:pPr>
        <w:spacing w:line="360" w:lineRule="auto"/>
        <w:rPr>
          <w:rFonts w:ascii="宋体" w:hAnsi="宋体" w:eastAsia="宋体" w:cs="宋体"/>
          <w:b/>
          <w:bCs/>
          <w:szCs w:val="21"/>
        </w:rPr>
      </w:pPr>
    </w:p>
    <w:p>
      <w:pPr>
        <w:spacing w:line="360" w:lineRule="auto"/>
        <w:rPr>
          <w:rFonts w:ascii="宋体" w:hAnsi="宋体" w:eastAsia="宋体" w:cs="宋体"/>
          <w:b/>
          <w:bCs/>
          <w:szCs w:val="21"/>
        </w:rPr>
      </w:pPr>
    </w:p>
    <w:p>
      <w:pPr>
        <w:spacing w:line="360" w:lineRule="auto"/>
        <w:rPr>
          <w:rFonts w:ascii="宋体" w:hAnsi="宋体" w:eastAsia="宋体" w:cs="宋体"/>
          <w:b/>
          <w:bCs/>
          <w:szCs w:val="21"/>
        </w:rPr>
      </w:pPr>
    </w:p>
    <w:p>
      <w:pPr>
        <w:spacing w:line="360" w:lineRule="auto"/>
        <w:rPr>
          <w:rFonts w:ascii="宋体" w:hAnsi="宋体" w:eastAsia="宋体" w:cs="宋体"/>
          <w:b/>
          <w:bCs/>
          <w:szCs w:val="21"/>
        </w:rPr>
      </w:pPr>
    </w:p>
    <w:p>
      <w:pPr>
        <w:spacing w:line="360" w:lineRule="auto"/>
        <w:rPr>
          <w:rFonts w:ascii="宋体" w:hAnsi="宋体" w:eastAsia="宋体" w:cs="宋体"/>
          <w:b/>
          <w:bCs/>
          <w:szCs w:val="21"/>
        </w:rPr>
      </w:pPr>
    </w:p>
    <w:p>
      <w:pPr>
        <w:spacing w:line="360" w:lineRule="auto"/>
        <w:rPr>
          <w:rFonts w:ascii="宋体" w:hAnsi="宋体" w:eastAsia="宋体" w:cs="宋体"/>
          <w:b/>
          <w:bCs/>
          <w:szCs w:val="21"/>
        </w:rPr>
      </w:pPr>
    </w:p>
    <w:p>
      <w:pPr>
        <w:spacing w:line="360" w:lineRule="auto"/>
        <w:rPr>
          <w:rFonts w:ascii="宋体" w:hAnsi="宋体" w:eastAsia="宋体" w:cs="宋体"/>
          <w:b/>
          <w:bCs/>
          <w:szCs w:val="21"/>
        </w:rPr>
      </w:pPr>
    </w:p>
    <w:p>
      <w:pPr>
        <w:spacing w:line="360" w:lineRule="auto"/>
        <w:rPr>
          <w:rFonts w:ascii="宋体" w:hAnsi="宋体" w:eastAsia="宋体" w:cs="宋体"/>
          <w:b/>
          <w:bCs/>
          <w:szCs w:val="21"/>
        </w:rPr>
      </w:pPr>
    </w:p>
    <w:p>
      <w:pPr>
        <w:spacing w:line="360" w:lineRule="auto"/>
        <w:rPr>
          <w:rFonts w:ascii="宋体" w:hAnsi="宋体" w:eastAsia="宋体" w:cs="宋体"/>
          <w:b/>
          <w:bCs/>
          <w:szCs w:val="21"/>
        </w:rPr>
      </w:pPr>
    </w:p>
    <w:p>
      <w:pPr>
        <w:spacing w:line="360" w:lineRule="auto"/>
        <w:rPr>
          <w:rFonts w:ascii="宋体" w:hAnsi="宋体" w:eastAsia="宋体" w:cs="宋体"/>
          <w:b/>
          <w:bCs/>
          <w:szCs w:val="21"/>
        </w:rPr>
      </w:pPr>
    </w:p>
    <w:p>
      <w:pPr>
        <w:spacing w:line="360" w:lineRule="auto"/>
        <w:rPr>
          <w:rFonts w:ascii="宋体" w:hAnsi="宋体" w:eastAsia="宋体" w:cs="宋体"/>
          <w:b/>
          <w:bCs/>
          <w:szCs w:val="21"/>
        </w:rPr>
      </w:pPr>
    </w:p>
    <w:p>
      <w:pPr>
        <w:spacing w:line="360" w:lineRule="auto"/>
        <w:rPr>
          <w:rFonts w:ascii="宋体" w:hAnsi="宋体" w:eastAsia="宋体" w:cs="宋体"/>
          <w:b/>
          <w:bCs/>
          <w:szCs w:val="21"/>
        </w:rPr>
      </w:pPr>
    </w:p>
    <w:p>
      <w:pPr>
        <w:spacing w:line="360" w:lineRule="auto"/>
        <w:rPr>
          <w:rFonts w:ascii="宋体" w:hAnsi="宋体" w:eastAsia="宋体" w:cs="宋体"/>
          <w:b/>
          <w:bCs/>
          <w:szCs w:val="21"/>
        </w:rPr>
      </w:pPr>
    </w:p>
    <w:p>
      <w:pPr>
        <w:spacing w:line="360" w:lineRule="auto"/>
        <w:rPr>
          <w:rFonts w:ascii="宋体" w:hAnsi="宋体" w:eastAsia="宋体" w:cs="宋体"/>
          <w:b/>
          <w:bCs/>
          <w:szCs w:val="21"/>
        </w:rPr>
      </w:pPr>
    </w:p>
    <w:p>
      <w:pPr>
        <w:spacing w:line="360" w:lineRule="auto"/>
        <w:rPr>
          <w:rFonts w:ascii="宋体" w:hAnsi="宋体" w:eastAsia="宋体" w:cs="宋体"/>
          <w:b/>
          <w:bCs/>
          <w:szCs w:val="21"/>
        </w:rPr>
      </w:pPr>
    </w:p>
    <w:p>
      <w:pPr>
        <w:spacing w:line="360" w:lineRule="auto"/>
        <w:rPr>
          <w:rFonts w:ascii="宋体" w:hAnsi="宋体" w:eastAsia="宋体" w:cs="宋体"/>
          <w:b/>
          <w:bCs/>
          <w:szCs w:val="21"/>
        </w:rPr>
      </w:pPr>
    </w:p>
    <w:p>
      <w:pPr>
        <w:spacing w:line="360" w:lineRule="auto"/>
        <w:rPr>
          <w:rFonts w:ascii="宋体" w:hAnsi="宋体" w:eastAsia="宋体" w:cs="宋体"/>
          <w:b/>
          <w:bCs/>
          <w:szCs w:val="21"/>
        </w:rPr>
      </w:pPr>
    </w:p>
    <w:p>
      <w:pPr>
        <w:spacing w:line="360" w:lineRule="auto"/>
        <w:rPr>
          <w:rFonts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ascii="宋体" w:hAnsi="宋体" w:eastAsia="宋体" w:cs="宋体"/>
          <w:b/>
          <w:bCs/>
          <w:szCs w:val="21"/>
        </w:rPr>
      </w:pPr>
      <w:r>
        <w:rPr>
          <w:rFonts w:hint="eastAsia" w:ascii="宋体" w:hAnsi="宋体" w:eastAsia="宋体" w:cs="宋体"/>
          <w:b/>
          <w:bCs/>
          <w:szCs w:val="21"/>
        </w:rPr>
        <w:t xml:space="preserve">附件3  </w:t>
      </w:r>
      <w:r>
        <w:rPr>
          <w:rFonts w:hint="eastAsia" w:ascii="宋体" w:hAnsi="宋体" w:eastAsia="宋体" w:cs="宋体"/>
          <w:b/>
          <w:bCs/>
          <w:szCs w:val="21"/>
          <w:lang w:val="en-US" w:eastAsia="zh-CN"/>
        </w:rPr>
        <w:t>营业场所</w:t>
      </w:r>
      <w:r>
        <w:rPr>
          <w:rFonts w:hint="eastAsia" w:ascii="宋体" w:hAnsi="宋体" w:eastAsia="宋体" w:cs="宋体"/>
          <w:b/>
          <w:bCs/>
          <w:szCs w:val="21"/>
        </w:rPr>
        <w:t>施工安全协议书</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1"/>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一、本协议与主合同的关系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本协议作为</w:t>
      </w:r>
      <w:r>
        <w:rPr>
          <w:rFonts w:hint="eastAsia" w:asciiTheme="minorEastAsia" w:hAnsiTheme="minorEastAsia"/>
          <w:sz w:val="24"/>
          <w:u w:val="single"/>
        </w:rPr>
        <w:t xml:space="preserve">                          </w:t>
      </w:r>
      <w:r>
        <w:rPr>
          <w:rFonts w:hint="eastAsia" w:asciiTheme="minorEastAsia" w:hAnsi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b/>
          <w:sz w:val="24"/>
        </w:rPr>
      </w:pPr>
      <w:r>
        <w:rPr>
          <w:rFonts w:asciiTheme="minorEastAsia" w:hAnsiTheme="minorEastAsia"/>
          <w:b/>
          <w:sz w:val="24"/>
        </w:rPr>
        <w:t xml:space="preserve"> 二、</w:t>
      </w:r>
      <w:r>
        <w:rPr>
          <w:rFonts w:hint="eastAsia" w:asciiTheme="minorEastAsia" w:hAnsiTheme="minorEastAsia"/>
          <w:b/>
          <w:sz w:val="24"/>
        </w:rPr>
        <w:t>甲方权责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sz w:val="24"/>
        </w:rPr>
      </w:pPr>
      <w:r>
        <w:rPr>
          <w:rFonts w:asciiTheme="minorEastAsia" w:hAnsiTheme="minorEastAsia"/>
          <w:sz w:val="24"/>
        </w:rPr>
        <w:t>1.</w:t>
      </w:r>
      <w:r>
        <w:rPr>
          <w:rFonts w:hint="eastAsia" w:asciiTheme="minorEastAsia" w:hAnsi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sz w:val="24"/>
        </w:rPr>
      </w:pPr>
      <w:r>
        <w:rPr>
          <w:rFonts w:asciiTheme="minorEastAsia" w:hAnsiTheme="minorEastAsia"/>
          <w:sz w:val="24"/>
        </w:rPr>
        <w:t>2.</w:t>
      </w:r>
      <w:r>
        <w:rPr>
          <w:rFonts w:hint="eastAsia" w:asciiTheme="minorEastAsia" w:hAnsiTheme="minorEastAsia"/>
          <w:sz w:val="24"/>
        </w:rPr>
        <w:t>根据《广州市水务局关于印发广州市水务工程施工和监理企业诚信评价管理办法的通知》（穗水建设〔2</w:t>
      </w:r>
      <w:r>
        <w:rPr>
          <w:rFonts w:asciiTheme="minorEastAsia" w:hAnsiTheme="minorEastAsia"/>
          <w:sz w:val="24"/>
        </w:rPr>
        <w:t>014</w:t>
      </w:r>
      <w:r>
        <w:rPr>
          <w:rFonts w:hint="eastAsia" w:asciiTheme="minorEastAsia" w:hAnsiTheme="minorEastAsia"/>
          <w:sz w:val="24"/>
        </w:rPr>
        <w:t>〕1</w:t>
      </w:r>
      <w:r>
        <w:rPr>
          <w:rFonts w:asciiTheme="minorEastAsia" w:hAnsiTheme="minorEastAsia"/>
          <w:sz w:val="24"/>
        </w:rPr>
        <w:t>0</w:t>
      </w:r>
      <w:r>
        <w:rPr>
          <w:rFonts w:hint="eastAsia" w:asciiTheme="minorEastAsia" w:hAnsiTheme="minorEastAsia"/>
          <w:sz w:val="24"/>
        </w:rPr>
        <w:t>号）、《市净水公司关于印发施工和监理企业诚信评价工作实施办法的通知》（穗净水〔201</w:t>
      </w:r>
      <w:r>
        <w:rPr>
          <w:rFonts w:asciiTheme="minorEastAsia" w:hAnsiTheme="minorEastAsia"/>
          <w:sz w:val="24"/>
        </w:rPr>
        <w:t>5</w:t>
      </w:r>
      <w:r>
        <w:rPr>
          <w:rFonts w:hint="eastAsia" w:asciiTheme="minorEastAsia" w:hAnsiTheme="minorEastAsia"/>
          <w:sz w:val="24"/>
        </w:rPr>
        <w:t>〕2</w:t>
      </w:r>
      <w:r>
        <w:rPr>
          <w:rFonts w:asciiTheme="minorEastAsia" w:hAnsiTheme="minorEastAsia"/>
          <w:sz w:val="24"/>
        </w:rPr>
        <w:t>40</w:t>
      </w:r>
      <w:r>
        <w:rPr>
          <w:rFonts w:hint="eastAsia" w:asciiTheme="minorEastAsia" w:hAnsi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3</w:t>
      </w:r>
      <w:r>
        <w:rPr>
          <w:rFonts w:asciiTheme="minorEastAsia" w:hAnsiTheme="minorEastAsia"/>
          <w:sz w:val="24"/>
        </w:rPr>
        <w:t>.</w:t>
      </w:r>
      <w:r>
        <w:rPr>
          <w:rFonts w:hint="eastAsia" w:asciiTheme="minorEastAsia" w:hAnsi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sz w:val="24"/>
        </w:rPr>
      </w:pPr>
      <w:r>
        <w:rPr>
          <w:rFonts w:asciiTheme="minorEastAsia" w:hAnsiTheme="minorEastAsia"/>
          <w:sz w:val="24"/>
        </w:rPr>
        <w:t>4.</w:t>
      </w:r>
      <w:r>
        <w:rPr>
          <w:rFonts w:hint="eastAsia" w:asciiTheme="minorEastAsia" w:hAnsi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三、乙方权责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（三）乙方应在合同签订后</w:t>
      </w:r>
      <w:r>
        <w:rPr>
          <w:rFonts w:asciiTheme="minorEastAsia" w:hAnsiTheme="minorEastAsia"/>
          <w:sz w:val="24"/>
          <w:u w:val="single"/>
        </w:rPr>
        <w:t xml:space="preserve">    </w:t>
      </w:r>
      <w:r>
        <w:rPr>
          <w:rFonts w:hint="eastAsia" w:asciiTheme="minorEastAsia" w:hAnsi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四、事故责任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sz w:val="24"/>
        </w:rPr>
      </w:pPr>
      <w:r>
        <w:rPr>
          <w:rFonts w:hint="eastAsia" w:asciiTheme="minorEastAsia" w:hAnsi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4"/>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六、附则</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eastAsia="宋体" w:cs="Times New Roman" w:asciiTheme="minorEastAsia" w:hAnsiTheme="minorEastAsia"/>
                <w:sz w:val="24"/>
              </w:rPr>
            </w:pPr>
            <w:r>
              <w:rPr>
                <w:rFonts w:hint="eastAsia" w:eastAsia="宋体" w:cs="Times New Roman" w:asciiTheme="minorEastAsia" w:hAnsiTheme="minorEastAsia"/>
                <w:sz w:val="24"/>
              </w:rPr>
              <w:t>甲方：</w:t>
            </w:r>
          </w:p>
          <w:p>
            <w:pPr>
              <w:adjustRightInd w:val="0"/>
              <w:snapToGrid w:val="0"/>
              <w:spacing w:line="560" w:lineRule="exact"/>
              <w:rPr>
                <w:rFonts w:eastAsia="宋体" w:cs="Times New Roman" w:asciiTheme="minorEastAsia" w:hAnsiTheme="minorEastAsia"/>
                <w:sz w:val="24"/>
              </w:rPr>
            </w:pPr>
            <w:r>
              <w:rPr>
                <w:rFonts w:hint="eastAsia" w:eastAsia="宋体" w:cs="Times New Roman" w:asciiTheme="minorEastAsia" w:hAnsiTheme="minorEastAsia"/>
                <w:sz w:val="24"/>
              </w:rPr>
              <w:t>签约代表：</w:t>
            </w:r>
          </w:p>
          <w:p>
            <w:pPr>
              <w:adjustRightInd w:val="0"/>
              <w:snapToGrid w:val="0"/>
              <w:spacing w:line="560" w:lineRule="exact"/>
              <w:rPr>
                <w:rFonts w:eastAsia="宋体" w:cs="Times New Roman" w:asciiTheme="minorEastAsia" w:hAnsiTheme="minorEastAsia"/>
                <w:sz w:val="24"/>
              </w:rPr>
            </w:pPr>
            <w:r>
              <w:rPr>
                <w:rFonts w:hint="eastAsia" w:eastAsia="宋体" w:cs="Times New Roman" w:asciiTheme="minorEastAsia" w:hAnsiTheme="minorEastAsia"/>
                <w:sz w:val="24"/>
              </w:rPr>
              <w:t>联系电话：</w:t>
            </w:r>
          </w:p>
          <w:p>
            <w:pPr>
              <w:adjustRightInd w:val="0"/>
              <w:snapToGrid w:val="0"/>
              <w:spacing w:line="560" w:lineRule="exact"/>
              <w:ind w:firstLine="240" w:firstLineChars="100"/>
              <w:jc w:val="right"/>
              <w:rPr>
                <w:rFonts w:eastAsia="宋体" w:cs="Times New Roman" w:asciiTheme="minorEastAsia" w:hAnsiTheme="minorEastAsia"/>
                <w:sz w:val="24"/>
              </w:rPr>
            </w:pPr>
            <w:r>
              <w:rPr>
                <w:rFonts w:hint="eastAsia" w:eastAsia="宋体" w:cs="Times New Roman" w:asciiTheme="minorEastAsia" w:hAnsiTheme="minorEastAsia"/>
                <w:sz w:val="24"/>
              </w:rPr>
              <w:t>年</w:t>
            </w:r>
            <w:r>
              <w:rPr>
                <w:rFonts w:eastAsia="宋体" w:cs="Times New Roman" w:asciiTheme="minorEastAsia" w:hAnsiTheme="minorEastAsia"/>
                <w:sz w:val="24"/>
              </w:rPr>
              <w:t xml:space="preserve">    </w:t>
            </w:r>
            <w:r>
              <w:rPr>
                <w:rFonts w:hint="eastAsia" w:eastAsia="宋体" w:cs="Times New Roman" w:asciiTheme="minorEastAsia" w:hAnsiTheme="minorEastAsia"/>
                <w:sz w:val="24"/>
              </w:rPr>
              <w:t>月</w:t>
            </w:r>
            <w:r>
              <w:rPr>
                <w:rFonts w:eastAsia="宋体" w:cs="Times New Roman" w:asciiTheme="minorEastAsia" w:hAnsiTheme="minorEastAsia"/>
                <w:sz w:val="24"/>
              </w:rPr>
              <w:t xml:space="preserve">    </w:t>
            </w:r>
            <w:r>
              <w:rPr>
                <w:rFonts w:hint="eastAsia" w:eastAsia="宋体" w:cs="Times New Roman" w:asciiTheme="minorEastAsia" w:hAnsiTheme="minorEastAsia"/>
                <w:sz w:val="24"/>
              </w:rPr>
              <w:t>日</w:t>
            </w:r>
          </w:p>
        </w:tc>
        <w:tc>
          <w:tcPr>
            <w:tcW w:w="4474" w:type="dxa"/>
          </w:tcPr>
          <w:p>
            <w:pPr>
              <w:adjustRightInd w:val="0"/>
              <w:snapToGrid w:val="0"/>
              <w:spacing w:line="560" w:lineRule="exact"/>
              <w:rPr>
                <w:rFonts w:eastAsia="宋体" w:cs="Times New Roman" w:asciiTheme="minorEastAsia" w:hAnsiTheme="minorEastAsia"/>
                <w:sz w:val="24"/>
              </w:rPr>
            </w:pPr>
            <w:r>
              <w:rPr>
                <w:rFonts w:hint="eastAsia" w:eastAsia="宋体" w:cs="Times New Roman" w:asciiTheme="minorEastAsia" w:hAnsiTheme="minorEastAsia"/>
                <w:sz w:val="24"/>
              </w:rPr>
              <w:t>乙方：</w:t>
            </w:r>
          </w:p>
          <w:p>
            <w:pPr>
              <w:adjustRightInd w:val="0"/>
              <w:snapToGrid w:val="0"/>
              <w:spacing w:line="560" w:lineRule="exact"/>
              <w:rPr>
                <w:rFonts w:eastAsia="宋体" w:cs="Times New Roman" w:asciiTheme="minorEastAsia" w:hAnsiTheme="minorEastAsia"/>
                <w:sz w:val="24"/>
              </w:rPr>
            </w:pPr>
            <w:r>
              <w:rPr>
                <w:rFonts w:hint="eastAsia" w:eastAsia="宋体" w:cs="Times New Roman" w:asciiTheme="minorEastAsia" w:hAnsiTheme="minorEastAsia"/>
                <w:sz w:val="24"/>
              </w:rPr>
              <w:t>签约代表：</w:t>
            </w:r>
          </w:p>
          <w:p>
            <w:pPr>
              <w:adjustRightInd w:val="0"/>
              <w:snapToGrid w:val="0"/>
              <w:spacing w:line="560" w:lineRule="exact"/>
              <w:rPr>
                <w:rFonts w:eastAsia="宋体" w:cs="Times New Roman" w:asciiTheme="minorEastAsia" w:hAnsiTheme="minorEastAsia"/>
                <w:sz w:val="24"/>
              </w:rPr>
            </w:pPr>
            <w:r>
              <w:rPr>
                <w:rFonts w:hint="eastAsia" w:eastAsia="宋体" w:cs="Times New Roman" w:asciiTheme="minorEastAsia" w:hAnsiTheme="minorEastAsia"/>
                <w:sz w:val="24"/>
              </w:rPr>
              <w:t>联系电话：</w:t>
            </w:r>
          </w:p>
          <w:p>
            <w:pPr>
              <w:adjustRightInd w:val="0"/>
              <w:snapToGrid w:val="0"/>
              <w:spacing w:line="560" w:lineRule="exact"/>
              <w:jc w:val="right"/>
              <w:rPr>
                <w:rFonts w:eastAsia="宋体" w:cs="Times New Roman" w:asciiTheme="minorEastAsia" w:hAnsiTheme="minorEastAsia"/>
                <w:sz w:val="24"/>
              </w:rPr>
            </w:pPr>
            <w:r>
              <w:rPr>
                <w:rFonts w:hint="eastAsia" w:eastAsia="宋体" w:cs="Times New Roman" w:asciiTheme="minorEastAsia" w:hAnsiTheme="minorEastAsia"/>
                <w:sz w:val="24"/>
              </w:rPr>
              <w:t>年</w:t>
            </w:r>
            <w:r>
              <w:rPr>
                <w:rFonts w:eastAsia="宋体" w:cs="Times New Roman" w:asciiTheme="minorEastAsia" w:hAnsiTheme="minorEastAsia"/>
                <w:sz w:val="24"/>
              </w:rPr>
              <w:t xml:space="preserve">    </w:t>
            </w:r>
            <w:r>
              <w:rPr>
                <w:rFonts w:hint="eastAsia" w:eastAsia="宋体" w:cs="Times New Roman" w:asciiTheme="minorEastAsia" w:hAnsiTheme="minorEastAsia"/>
                <w:sz w:val="24"/>
              </w:rPr>
              <w:t>月</w:t>
            </w:r>
            <w:r>
              <w:rPr>
                <w:rFonts w:eastAsia="宋体" w:cs="Times New Roman" w:asciiTheme="minorEastAsia" w:hAnsiTheme="minorEastAsia"/>
                <w:sz w:val="24"/>
              </w:rPr>
              <w:t xml:space="preserve">    </w:t>
            </w:r>
            <w:r>
              <w:rPr>
                <w:rFonts w:hint="eastAsia" w:eastAsia="宋体" w:cs="Times New Roman" w:asciiTheme="minorEastAsia" w:hAnsiTheme="minorEastAsia"/>
                <w:sz w:val="24"/>
              </w:rPr>
              <w:t>日</w:t>
            </w:r>
          </w:p>
        </w:tc>
      </w:tr>
      <w:bookmarkEnd w:id="9"/>
      <w:bookmarkEnd w:id="10"/>
      <w:bookmarkEnd w:id="11"/>
    </w:tbl>
    <w:p>
      <w:pPr>
        <w:spacing w:line="360" w:lineRule="auto"/>
        <w:rPr>
          <w:rFonts w:ascii="宋体" w:hAnsi="宋体" w:cs="宋体"/>
          <w:b/>
          <w:bCs/>
          <w:szCs w:val="21"/>
        </w:rPr>
      </w:pPr>
    </w:p>
    <w:p>
      <w:pPr>
        <w:pStyle w:val="24"/>
        <w:rPr>
          <w:rFonts w:hAnsi="宋体"/>
          <w:b/>
          <w:bCs/>
          <w:szCs w:val="21"/>
        </w:rPr>
      </w:pPr>
    </w:p>
    <w:p>
      <w:pPr>
        <w:pStyle w:val="24"/>
        <w:rPr>
          <w:rFonts w:hAnsi="宋体"/>
          <w:b/>
          <w:bCs/>
          <w:szCs w:val="21"/>
        </w:rPr>
      </w:pPr>
    </w:p>
    <w:p>
      <w:pPr>
        <w:pStyle w:val="24"/>
        <w:rPr>
          <w:rFonts w:hAnsi="宋体"/>
          <w:b/>
          <w:bCs/>
          <w:szCs w:val="21"/>
        </w:rPr>
      </w:pPr>
    </w:p>
    <w:p>
      <w:pPr>
        <w:spacing w:line="360" w:lineRule="auto"/>
        <w:rPr>
          <w:rFonts w:ascii="宋体" w:hAnsi="宋体" w:cs="宋体"/>
          <w:b/>
          <w:bCs/>
          <w:szCs w:val="21"/>
        </w:rPr>
      </w:pPr>
    </w:p>
    <w:p>
      <w:pPr>
        <w:pStyle w:val="24"/>
        <w:rPr>
          <w:rFonts w:hAnsi="宋体"/>
          <w:b/>
          <w:bCs/>
          <w:szCs w:val="21"/>
        </w:rPr>
      </w:pPr>
    </w:p>
    <w:p>
      <w:pPr>
        <w:pStyle w:val="24"/>
        <w:rPr>
          <w:rFonts w:hAnsi="宋体"/>
          <w:b/>
          <w:bCs/>
          <w:szCs w:val="21"/>
        </w:rPr>
      </w:pPr>
    </w:p>
    <w:p>
      <w:pPr>
        <w:pStyle w:val="24"/>
        <w:rPr>
          <w:rFonts w:hAnsi="宋体"/>
          <w:b/>
          <w:bCs/>
          <w:szCs w:val="21"/>
        </w:rPr>
      </w:pPr>
    </w:p>
    <w:p>
      <w:pPr>
        <w:pStyle w:val="24"/>
        <w:rPr>
          <w:rFonts w:hAnsi="宋体"/>
          <w:b/>
          <w:bCs/>
          <w:szCs w:val="21"/>
        </w:rPr>
      </w:pPr>
    </w:p>
    <w:p>
      <w:pPr>
        <w:spacing w:line="360" w:lineRule="auto"/>
        <w:jc w:val="left"/>
        <w:rPr>
          <w:rFonts w:ascii="宋体" w:hAnsi="宋体" w:cs="宋体"/>
          <w:b/>
          <w:bCs/>
          <w:szCs w:val="21"/>
        </w:rPr>
      </w:pPr>
    </w:p>
    <w:p>
      <w:pPr>
        <w:pStyle w:val="24"/>
        <w:rPr>
          <w:rFonts w:hAnsi="宋体"/>
          <w:b/>
          <w:bCs/>
          <w:szCs w:val="21"/>
        </w:rPr>
      </w:pPr>
    </w:p>
    <w:p>
      <w:pPr>
        <w:pStyle w:val="24"/>
        <w:rPr>
          <w:rFonts w:hAnsi="宋体"/>
          <w:b/>
          <w:bCs/>
          <w:szCs w:val="21"/>
        </w:rPr>
      </w:pPr>
    </w:p>
    <w:p>
      <w:pPr>
        <w:pStyle w:val="24"/>
        <w:rPr>
          <w:rFonts w:hAnsi="宋体"/>
          <w:b/>
          <w:bCs/>
          <w:szCs w:val="21"/>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hint="eastAsia" w:ascii="仿宋_GB2312" w:hAnsi="仿宋_GB2312" w:eastAsia="仿宋_GB2312" w:cs="仿宋_GB2312"/>
          <w:b/>
          <w:bCs/>
          <w:sz w:val="24"/>
          <w:szCs w:val="24"/>
        </w:rPr>
      </w:pPr>
    </w:p>
    <w:p>
      <w:pPr>
        <w:rPr>
          <w:rFonts w:hint="eastAsia" w:ascii="仿宋_GB2312" w:hAnsi="仿宋_GB2312" w:eastAsia="仿宋_GB2312" w:cs="仿宋_GB2312"/>
          <w:b/>
          <w:bCs/>
          <w:sz w:val="24"/>
          <w:szCs w:val="24"/>
        </w:rPr>
      </w:pPr>
    </w:p>
    <w:p>
      <w:pP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附件4.</w:t>
      </w:r>
      <w:r>
        <w:rPr>
          <w:rFonts w:hint="eastAsia" w:asciiTheme="minorEastAsia" w:hAnsiTheme="minorEastAsia"/>
          <w:color w:val="000000"/>
          <w:sz w:val="24"/>
          <w:szCs w:val="24"/>
        </w:rPr>
        <w:t xml:space="preserve"> </w:t>
      </w:r>
      <w:r>
        <w:rPr>
          <w:rFonts w:hint="eastAsia" w:ascii="仿宋_GB2312" w:hAnsi="仿宋_GB2312" w:eastAsia="仿宋_GB2312" w:cs="仿宋_GB2312"/>
          <w:b/>
          <w:bCs/>
          <w:sz w:val="24"/>
          <w:szCs w:val="24"/>
        </w:rPr>
        <w:t>起重机定期保养点检查表</w:t>
      </w:r>
    </w:p>
    <w:tbl>
      <w:tblPr>
        <w:tblStyle w:val="18"/>
        <w:tblW w:w="8500" w:type="dxa"/>
        <w:jc w:val="center"/>
        <w:tblLayout w:type="fixed"/>
        <w:tblCellMar>
          <w:top w:w="0" w:type="dxa"/>
          <w:left w:w="0" w:type="dxa"/>
          <w:bottom w:w="0" w:type="dxa"/>
          <w:right w:w="0" w:type="dxa"/>
        </w:tblCellMar>
      </w:tblPr>
      <w:tblGrid>
        <w:gridCol w:w="808"/>
        <w:gridCol w:w="494"/>
        <w:gridCol w:w="1756"/>
        <w:gridCol w:w="915"/>
        <w:gridCol w:w="1185"/>
        <w:gridCol w:w="547"/>
        <w:gridCol w:w="368"/>
        <w:gridCol w:w="2427"/>
      </w:tblGrid>
      <w:tr>
        <w:tblPrEx>
          <w:tblCellMar>
            <w:top w:w="0" w:type="dxa"/>
            <w:left w:w="0" w:type="dxa"/>
            <w:bottom w:w="0" w:type="dxa"/>
            <w:right w:w="0" w:type="dxa"/>
          </w:tblCellMar>
        </w:tblPrEx>
        <w:trPr>
          <w:trHeight w:val="664" w:hRule="atLeast"/>
          <w:jc w:val="center"/>
        </w:trPr>
        <w:tc>
          <w:tcPr>
            <w:tcW w:w="8500" w:type="dxa"/>
            <w:gridSpan w:val="8"/>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bottom"/>
          </w:tcPr>
          <w:p>
            <w:pPr>
              <w:widowControl/>
              <w:jc w:val="center"/>
              <w:textAlignment w:val="top"/>
              <w:rPr>
                <w:rFonts w:ascii="黑体" w:hAnsi="黑体" w:eastAsia="黑体" w:cs="黑体"/>
                <w:color w:val="000000"/>
                <w:sz w:val="32"/>
                <w:szCs w:val="32"/>
              </w:rPr>
            </w:pPr>
            <w:r>
              <w:rPr>
                <w:rFonts w:hint="eastAsia" w:ascii="黑体" w:hAnsi="黑体" w:eastAsia="黑体"/>
                <w:color w:val="000000"/>
                <w:sz w:val="32"/>
                <w:szCs w:val="32"/>
              </w:rPr>
              <w:t>起重机定期保养点检查表</w:t>
            </w:r>
          </w:p>
        </w:tc>
      </w:tr>
      <w:tr>
        <w:tblPrEx>
          <w:tblCellMar>
            <w:top w:w="0" w:type="dxa"/>
            <w:left w:w="0" w:type="dxa"/>
            <w:bottom w:w="0" w:type="dxa"/>
            <w:right w:w="0" w:type="dxa"/>
          </w:tblCellMar>
        </w:tblPrEx>
        <w:trPr>
          <w:trHeight w:val="76" w:hRule="atLeast"/>
          <w:jc w:val="center"/>
        </w:trPr>
        <w:tc>
          <w:tcPr>
            <w:tcW w:w="8500" w:type="dxa"/>
            <w:gridSpan w:val="8"/>
            <w:tcBorders>
              <w:top w:val="nil"/>
              <w:left w:val="single" w:color="000000" w:sz="8" w:space="0"/>
              <w:bottom w:val="single" w:color="000000" w:sz="4" w:space="0"/>
              <w:right w:val="single" w:color="000000" w:sz="8" w:space="0"/>
            </w:tcBorders>
            <w:shd w:val="clear" w:color="auto" w:fill="auto"/>
            <w:tcMar>
              <w:top w:w="15" w:type="dxa"/>
              <w:left w:w="15" w:type="dxa"/>
              <w:right w:w="15" w:type="dxa"/>
            </w:tcMar>
          </w:tcPr>
          <w:p>
            <w:pPr>
              <w:widowControl/>
              <w:jc w:val="right"/>
              <w:textAlignment w:val="top"/>
              <w:rPr>
                <w:rFonts w:ascii="宋体" w:hAnsi="宋体" w:cs="宋体"/>
                <w:color w:val="000000"/>
                <w:sz w:val="20"/>
              </w:rPr>
            </w:pPr>
          </w:p>
        </w:tc>
      </w:tr>
      <w:tr>
        <w:tblPrEx>
          <w:tblCellMar>
            <w:top w:w="0" w:type="dxa"/>
            <w:left w:w="0" w:type="dxa"/>
            <w:bottom w:w="0" w:type="dxa"/>
            <w:right w:w="0" w:type="dxa"/>
          </w:tblCellMar>
        </w:tblPrEx>
        <w:trPr>
          <w:trHeight w:val="654" w:hRule="atLeast"/>
          <w:jc w:val="center"/>
        </w:trPr>
        <w:tc>
          <w:tcPr>
            <w:tcW w:w="1302" w:type="dxa"/>
            <w:gridSpan w:val="2"/>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使用单位</w:t>
            </w:r>
          </w:p>
        </w:tc>
        <w:tc>
          <w:tcPr>
            <w:tcW w:w="17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Arial" w:hAnsi="Arial" w:cs="Arial"/>
                <w:color w:val="000000"/>
                <w:szCs w:val="21"/>
              </w:rPr>
            </w:pPr>
          </w:p>
        </w:tc>
        <w:tc>
          <w:tcPr>
            <w:tcW w:w="9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产品工号</w:t>
            </w:r>
          </w:p>
        </w:tc>
        <w:tc>
          <w:tcPr>
            <w:tcW w:w="11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Arial" w:hAnsi="Arial" w:cs="Arial"/>
                <w:color w:val="000000"/>
                <w:szCs w:val="21"/>
              </w:rPr>
            </w:pPr>
            <w:r>
              <w:rPr>
                <w:rFonts w:ascii="Arial" w:hAnsi="Arial" w:cs="Arial"/>
                <w:color w:val="000000"/>
                <w:kern w:val="0"/>
                <w:szCs w:val="21"/>
                <w:lang w:bidi="ar"/>
              </w:rPr>
              <w:t xml:space="preserve">         </w:t>
            </w:r>
          </w:p>
        </w:tc>
        <w:tc>
          <w:tcPr>
            <w:tcW w:w="91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规格</w:t>
            </w:r>
          </w:p>
        </w:tc>
        <w:tc>
          <w:tcPr>
            <w:tcW w:w="2427"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          )t-(      )m</w:t>
            </w:r>
          </w:p>
          <w:p>
            <w:pPr>
              <w:widowControl/>
              <w:jc w:val="center"/>
              <w:textAlignment w:val="center"/>
              <w:rPr>
                <w:rFonts w:ascii="Arial" w:hAnsi="Arial" w:cs="Arial"/>
                <w:color w:val="000000"/>
                <w:szCs w:val="21"/>
              </w:rPr>
            </w:pPr>
            <w:r>
              <w:rPr>
                <w:rFonts w:ascii="Arial" w:hAnsi="Arial" w:cs="Arial"/>
                <w:color w:val="000000"/>
                <w:kern w:val="0"/>
                <w:szCs w:val="21"/>
                <w:lang w:bidi="ar"/>
              </w:rPr>
              <w:t xml:space="preserve">-(     )m-A(   )  </w:t>
            </w:r>
          </w:p>
        </w:tc>
      </w:tr>
      <w:tr>
        <w:tblPrEx>
          <w:tblCellMar>
            <w:top w:w="0" w:type="dxa"/>
            <w:left w:w="0" w:type="dxa"/>
            <w:bottom w:w="0" w:type="dxa"/>
            <w:right w:w="0" w:type="dxa"/>
          </w:tblCellMar>
        </w:tblPrEx>
        <w:trPr>
          <w:trHeight w:val="773" w:hRule="atLeast"/>
          <w:jc w:val="center"/>
        </w:trPr>
        <w:tc>
          <w:tcPr>
            <w:tcW w:w="1302" w:type="dxa"/>
            <w:gridSpan w:val="2"/>
            <w:tcBorders>
              <w:top w:val="single" w:color="000000" w:sz="4" w:space="0"/>
              <w:left w:val="single" w:color="000000" w:sz="8"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型号</w:t>
            </w:r>
          </w:p>
        </w:tc>
        <w:tc>
          <w:tcPr>
            <w:tcW w:w="7198" w:type="dxa"/>
            <w:gridSpan w:val="6"/>
            <w:tcBorders>
              <w:top w:val="single" w:color="000000" w:sz="4" w:space="0"/>
              <w:left w:val="single" w:color="000000" w:sz="4" w:space="0"/>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bdr w:val="single" w:color="000000" w:sz="4" w:space="0"/>
              </w:rPr>
              <w:drawing>
                <wp:anchor distT="0" distB="0" distL="114300" distR="114300" simplePos="0" relativeHeight="251662336" behindDoc="0" locked="0" layoutInCell="1" allowOverlap="1">
                  <wp:simplePos x="0" y="0"/>
                  <wp:positionH relativeFrom="column">
                    <wp:posOffset>3126105</wp:posOffset>
                  </wp:positionH>
                  <wp:positionV relativeFrom="paragraph">
                    <wp:posOffset>322580</wp:posOffset>
                  </wp:positionV>
                  <wp:extent cx="974725" cy="1905"/>
                  <wp:effectExtent l="0" t="0" r="0" b="0"/>
                  <wp:wrapNone/>
                  <wp:docPr id="5" name="直接连接符_10"/>
                  <wp:cNvGraphicFramePr/>
                  <a:graphic xmlns:a="http://schemas.openxmlformats.org/drawingml/2006/main">
                    <a:graphicData uri="http://schemas.openxmlformats.org/drawingml/2006/picture">
                      <pic:pic xmlns:pic="http://schemas.openxmlformats.org/drawingml/2006/picture">
                        <pic:nvPicPr>
                          <pic:cNvPr id="5" name="直接连接符_10"/>
                          <pic:cNvPicPr/>
                        </pic:nvPicPr>
                        <pic:blipFill>
                          <a:blip r:embed="rId7"/>
                          <a:stretch>
                            <a:fillRect/>
                          </a:stretch>
                        </pic:blipFill>
                        <pic:spPr>
                          <a:xfrm>
                            <a:off x="0" y="0"/>
                            <a:ext cx="974725" cy="1905"/>
                          </a:xfrm>
                          <a:prstGeom prst="rect">
                            <a:avLst/>
                          </a:prstGeom>
                          <a:noFill/>
                          <a:ln>
                            <a:noFill/>
                          </a:ln>
                        </pic:spPr>
                      </pic:pic>
                    </a:graphicData>
                  </a:graphic>
                </wp:anchor>
              </w:drawing>
            </w:r>
            <w:r>
              <w:rPr>
                <w:rFonts w:hint="eastAsia" w:ascii="宋体" w:hAnsi="宋体" w:cs="宋体"/>
                <w:color w:val="000000"/>
                <w:kern w:val="0"/>
                <w:szCs w:val="21"/>
                <w:lang w:bidi="ar"/>
              </w:rPr>
              <w:t xml:space="preserve">□QD □QDG □QDX □QE □QDY □QC □QZ □LDA □LX □LB □LH □LHE </w:t>
            </w:r>
          </w:p>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 xml:space="preserve">□BZD  □GQ  □MDG □MG  □MH □MU □ME □MHE  □MJ   其他 </w:t>
            </w:r>
          </w:p>
        </w:tc>
      </w:tr>
      <w:tr>
        <w:tblPrEx>
          <w:tblCellMar>
            <w:top w:w="0" w:type="dxa"/>
            <w:left w:w="0" w:type="dxa"/>
            <w:bottom w:w="0" w:type="dxa"/>
            <w:right w:w="0" w:type="dxa"/>
          </w:tblCellMar>
        </w:tblPrEx>
        <w:trPr>
          <w:trHeight w:val="654" w:hRule="atLeast"/>
          <w:jc w:val="center"/>
        </w:trPr>
        <w:tc>
          <w:tcPr>
            <w:tcW w:w="8500" w:type="dxa"/>
            <w:gridSpan w:val="8"/>
            <w:tcBorders>
              <w:top w:val="single"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检查结果一栏填写“√”表示正常，“×”表示不正常，出现不正常情况时应在检查结果栏或备注栏注明处理办法或意见。本表一式两份，一份交用户存档。</w:t>
            </w:r>
          </w:p>
        </w:tc>
      </w:tr>
      <w:tr>
        <w:tblPrEx>
          <w:tblCellMar>
            <w:top w:w="0" w:type="dxa"/>
            <w:left w:w="0" w:type="dxa"/>
            <w:bottom w:w="0" w:type="dxa"/>
            <w:right w:w="0" w:type="dxa"/>
          </w:tblCellMar>
        </w:tblPrEx>
        <w:trPr>
          <w:trHeight w:val="349" w:hRule="atLeast"/>
          <w:jc w:val="center"/>
        </w:trPr>
        <w:tc>
          <w:tcPr>
            <w:tcW w:w="808"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部位</w:t>
            </w:r>
          </w:p>
        </w:tc>
        <w:tc>
          <w:tcPr>
            <w:tcW w:w="494"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序号</w:t>
            </w:r>
          </w:p>
        </w:tc>
        <w:tc>
          <w:tcPr>
            <w:tcW w:w="1756"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检查保养项目</w:t>
            </w:r>
          </w:p>
        </w:tc>
        <w:tc>
          <w:tcPr>
            <w:tcW w:w="2647" w:type="dxa"/>
            <w:gridSpan w:val="3"/>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检查要求</w:t>
            </w:r>
          </w:p>
        </w:tc>
        <w:tc>
          <w:tcPr>
            <w:tcW w:w="2795" w:type="dxa"/>
            <w:gridSpan w:val="2"/>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检查结果</w:t>
            </w:r>
          </w:p>
        </w:tc>
      </w:tr>
      <w:tr>
        <w:tblPrEx>
          <w:tblCellMar>
            <w:top w:w="0" w:type="dxa"/>
            <w:left w:w="0" w:type="dxa"/>
            <w:bottom w:w="0" w:type="dxa"/>
            <w:right w:w="0" w:type="dxa"/>
          </w:tblCellMar>
        </w:tblPrEx>
        <w:trPr>
          <w:trHeight w:val="349" w:hRule="atLeast"/>
          <w:jc w:val="center"/>
        </w:trPr>
        <w:tc>
          <w:tcPr>
            <w:tcW w:w="808" w:type="dxa"/>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整机工作性能</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各机构动作</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运行正常，制动可靠</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664" w:hRule="atLeast"/>
          <w:jc w:val="center"/>
        </w:trPr>
        <w:tc>
          <w:tcPr>
            <w:tcW w:w="808"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操纵系统、电气控制系统</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电压正常，工作正常</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664" w:hRule="atLeast"/>
          <w:jc w:val="center"/>
        </w:trPr>
        <w:tc>
          <w:tcPr>
            <w:tcW w:w="808"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大小车沿轨道全长运行</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无啃轨现象</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654" w:hRule="atLeast"/>
          <w:jc w:val="center"/>
        </w:trPr>
        <w:tc>
          <w:tcPr>
            <w:tcW w:w="808" w:type="dxa"/>
            <w:vMerge w:val="restart"/>
            <w:tcBorders>
              <w:top w:val="nil"/>
              <w:left w:val="single" w:color="000000" w:sz="8"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控制系统</w:t>
            </w:r>
          </w:p>
        </w:tc>
        <w:tc>
          <w:tcPr>
            <w:tcW w:w="4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2.1</w:t>
            </w:r>
          </w:p>
        </w:tc>
        <w:tc>
          <w:tcPr>
            <w:tcW w:w="17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手电门</w:t>
            </w:r>
          </w:p>
        </w:tc>
        <w:tc>
          <w:tcPr>
            <w:tcW w:w="264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按钮灵敏，外观完好，电缆无损伤，急停是否有效</w:t>
            </w:r>
          </w:p>
        </w:tc>
        <w:tc>
          <w:tcPr>
            <w:tcW w:w="2795" w:type="dxa"/>
            <w:gridSpan w:val="2"/>
            <w:tcBorders>
              <w:top w:val="nil"/>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nil"/>
              <w:left w:val="single" w:color="000000" w:sz="8"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2.2</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遥控</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按钮灵敏，外观完好，急停有效</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nil"/>
              <w:left w:val="single" w:color="000000" w:sz="8"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2.3</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驾驶室</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方向控制器灵活有效，急停有效</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654" w:hRule="atLeast"/>
          <w:jc w:val="center"/>
        </w:trPr>
        <w:tc>
          <w:tcPr>
            <w:tcW w:w="808"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安全保护装置</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3.1</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控制保护</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□失压保护□零位保护</w:t>
            </w:r>
          </w:p>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□互锁保护有效</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3.2</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上升、下降限位</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动作灵敏、可靠</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3.3</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大、小车限位</w:t>
            </w:r>
          </w:p>
        </w:tc>
        <w:tc>
          <w:tcPr>
            <w:tcW w:w="2647" w:type="dxa"/>
            <w:gridSpan w:val="3"/>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动作灵敏、可靠</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3.4</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大、小车缓冲装置</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缓冲装置完好、有效</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3.5</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大、小车扫轨板</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固定良好，达到扫轨效果</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安全尺/反光板</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固定良好，有效触发限位</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654"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3.7</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夹轨器或锚定装置</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固定良好，有效锁定或锚定</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968" w:hRule="atLeast"/>
          <w:jc w:val="center"/>
        </w:trPr>
        <w:tc>
          <w:tcPr>
            <w:tcW w:w="808"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桥架及机构</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4.1</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关键连接螺栓</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手动检查：主、端梁连接，葫芦慢速电机连接，大车三合一连接等部位螺丝固定情况</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4.2</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C型槽检查</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固定良好，C型槽无变形、过渡顺滑</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4.3</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大车刹车</w:t>
            </w:r>
          </w:p>
        </w:tc>
        <w:tc>
          <w:tcPr>
            <w:tcW w:w="2647" w:type="dxa"/>
            <w:gridSpan w:val="3"/>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运行时制动距离应正常</w:t>
            </w:r>
          </w:p>
        </w:tc>
        <w:tc>
          <w:tcPr>
            <w:tcW w:w="2795" w:type="dxa"/>
            <w:gridSpan w:val="2"/>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4.4</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大车联轴器</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无异响、震动或异常串动</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4.5</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大车路轨</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压码无松动，目测水平、高低偏差正常</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4.6</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小车刹车</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运行时制动距离应正常</w:t>
            </w:r>
          </w:p>
        </w:tc>
        <w:tc>
          <w:tcPr>
            <w:tcW w:w="2795" w:type="dxa"/>
            <w:gridSpan w:val="2"/>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4.7</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小车联轴器</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无异响、震动或异常串动</w:t>
            </w:r>
          </w:p>
        </w:tc>
        <w:tc>
          <w:tcPr>
            <w:tcW w:w="2795" w:type="dxa"/>
            <w:gridSpan w:val="2"/>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4.8</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起升电机</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运行无异常响声和温升，紧固螺丝</w:t>
            </w:r>
          </w:p>
        </w:tc>
        <w:tc>
          <w:tcPr>
            <w:tcW w:w="2795" w:type="dxa"/>
            <w:gridSpan w:val="2"/>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654"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4.9</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起升刹车</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固定良好，点动检查抱闸力矩,制动距离是否正常</w:t>
            </w:r>
          </w:p>
        </w:tc>
        <w:tc>
          <w:tcPr>
            <w:tcW w:w="2795" w:type="dxa"/>
            <w:gridSpan w:val="2"/>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4.1</w:t>
            </w:r>
            <w:r>
              <w:rPr>
                <w:rStyle w:val="45"/>
                <w:rFonts w:hint="default"/>
                <w:lang w:bidi="ar"/>
              </w:rPr>
              <w:t>0</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起升联轴器</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无异响、震动或异常串动</w:t>
            </w:r>
          </w:p>
        </w:tc>
        <w:tc>
          <w:tcPr>
            <w:tcW w:w="2795" w:type="dxa"/>
            <w:gridSpan w:val="2"/>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654"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4.11</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吊钩检查</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转动灵活，螺母紧固，无明显变形、裂纹，开口度正常，安全扣完好</w:t>
            </w:r>
          </w:p>
        </w:tc>
        <w:tc>
          <w:tcPr>
            <w:tcW w:w="2795" w:type="dxa"/>
            <w:gridSpan w:val="2"/>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968"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4.12</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钢丝绳检查</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外观检查无断丝、松股、弯曲，直径尺寸正常，润滑及尾端固定良好；防跳槽装置有效</w:t>
            </w:r>
          </w:p>
        </w:tc>
        <w:tc>
          <w:tcPr>
            <w:tcW w:w="2795" w:type="dxa"/>
            <w:gridSpan w:val="2"/>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right w:w="15" w:type="dxa"/>
            </w:tcMar>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lang w:bidi="ar"/>
              </w:rPr>
              <w:t>记录直径值:</w:t>
            </w:r>
          </w:p>
        </w:tc>
      </w:tr>
      <w:tr>
        <w:tblPrEx>
          <w:tblCellMar>
            <w:top w:w="0" w:type="dxa"/>
            <w:left w:w="0" w:type="dxa"/>
            <w:bottom w:w="0" w:type="dxa"/>
            <w:right w:w="0" w:type="dxa"/>
          </w:tblCellMar>
        </w:tblPrEx>
        <w:trPr>
          <w:trHeight w:val="654"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4.13</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滑轮组</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运转正常，轮槽无明显磨损，轮缘、滑轮轴无钢丝绳跳槽痕迹，</w:t>
            </w:r>
          </w:p>
        </w:tc>
        <w:tc>
          <w:tcPr>
            <w:tcW w:w="2795" w:type="dxa"/>
            <w:gridSpan w:val="2"/>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电气元器件</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5.1</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电制箱固定</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固定良好，外观无损伤</w:t>
            </w:r>
          </w:p>
        </w:tc>
        <w:tc>
          <w:tcPr>
            <w:tcW w:w="2795" w:type="dxa"/>
            <w:gridSpan w:val="2"/>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654"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5.2</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电制箱内接线</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接线端子紧固，布线情况良好，接地线接地良好</w:t>
            </w:r>
          </w:p>
        </w:tc>
        <w:tc>
          <w:tcPr>
            <w:tcW w:w="2795" w:type="dxa"/>
            <w:gridSpan w:val="2"/>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其他</w:t>
            </w:r>
          </w:p>
        </w:tc>
        <w:tc>
          <w:tcPr>
            <w:tcW w:w="49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6.1</w:t>
            </w:r>
          </w:p>
        </w:tc>
        <w:tc>
          <w:tcPr>
            <w:tcW w:w="1756" w:type="dxa"/>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检修平台</w:t>
            </w:r>
          </w:p>
        </w:tc>
        <w:tc>
          <w:tcPr>
            <w:tcW w:w="2647" w:type="dxa"/>
            <w:gridSpan w:val="3"/>
            <w:tcBorders>
              <w:top w:val="single" w:color="000000" w:sz="4" w:space="0"/>
              <w:left w:val="single" w:color="000000" w:sz="4" w:space="0"/>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有检修作业空间或移动式检修平台</w:t>
            </w:r>
          </w:p>
        </w:tc>
        <w:tc>
          <w:tcPr>
            <w:tcW w:w="2795" w:type="dxa"/>
            <w:gridSpan w:val="2"/>
            <w:tcBorders>
              <w:top w:val="single" w:color="000000" w:sz="4" w:space="0"/>
              <w:left w:val="single" w:color="000000" w:sz="8" w:space="0"/>
              <w:bottom w:val="nil"/>
              <w:right w:val="single" w:color="000000" w:sz="8"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49" w:hRule="atLeast"/>
          <w:jc w:val="center"/>
        </w:trPr>
        <w:tc>
          <w:tcPr>
            <w:tcW w:w="808" w:type="dxa"/>
            <w:tcBorders>
              <w:top w:val="single" w:color="000000" w:sz="8" w:space="0"/>
              <w:left w:val="single" w:color="000000" w:sz="8"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备注：</w:t>
            </w:r>
          </w:p>
        </w:tc>
        <w:tc>
          <w:tcPr>
            <w:tcW w:w="7692" w:type="dxa"/>
            <w:gridSpan w:val="7"/>
            <w:tcBorders>
              <w:top w:val="single" w:color="000000" w:sz="8" w:space="0"/>
              <w:left w:val="nil"/>
              <w:bottom w:val="dotDotDash"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500" w:type="dxa"/>
            <w:gridSpan w:val="8"/>
            <w:tcBorders>
              <w:top w:val="nil"/>
              <w:left w:val="single" w:color="000000" w:sz="8" w:space="0"/>
              <w:bottom w:val="dotDotDash"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500" w:type="dxa"/>
            <w:gridSpan w:val="8"/>
            <w:tcBorders>
              <w:top w:val="dotDotDash" w:color="000000" w:sz="4" w:space="0"/>
              <w:left w:val="single" w:color="000000" w:sz="8" w:space="0"/>
              <w:bottom w:val="single" w:color="000000" w:sz="8" w:space="0"/>
              <w:right w:val="single" w:color="000000" w:sz="8" w:space="0"/>
            </w:tcBorders>
            <w:shd w:val="clear" w:color="auto" w:fill="auto"/>
            <w:noWrap/>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49" w:hRule="atLeast"/>
          <w:jc w:val="center"/>
        </w:trPr>
        <w:tc>
          <w:tcPr>
            <w:tcW w:w="1302" w:type="dxa"/>
            <w:gridSpan w:val="2"/>
            <w:vMerge w:val="restart"/>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服务人员签章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日期</w:t>
            </w:r>
          </w:p>
        </w:tc>
        <w:tc>
          <w:tcPr>
            <w:tcW w:w="2671" w:type="dxa"/>
            <w:gridSpan w:val="2"/>
            <w:vMerge w:val="restart"/>
            <w:tcBorders>
              <w:top w:val="single" w:color="000000" w:sz="8" w:space="0"/>
              <w:left w:val="single" w:color="000000" w:sz="4" w:space="0"/>
              <w:bottom w:val="single" w:color="000000" w:sz="8" w:space="0"/>
              <w:right w:val="nil"/>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Cs w:val="21"/>
              </w:rPr>
            </w:pPr>
            <w:r>
              <w:rPr>
                <w:rStyle w:val="46"/>
                <w:rFonts w:hint="eastAsia"/>
                <w:lang w:bidi="ar"/>
              </w:rPr>
              <w:t xml:space="preserve">     </w:t>
            </w:r>
            <w:r>
              <w:rPr>
                <w:rStyle w:val="45"/>
                <w:rFonts w:hint="default"/>
                <w:lang w:bidi="ar"/>
              </w:rPr>
              <w:t>年</w:t>
            </w:r>
            <w:r>
              <w:rPr>
                <w:rStyle w:val="46"/>
                <w:lang w:bidi="ar"/>
              </w:rPr>
              <w:t xml:space="preserve">    </w:t>
            </w:r>
            <w:r>
              <w:rPr>
                <w:rStyle w:val="45"/>
                <w:rFonts w:hint="default"/>
                <w:lang w:bidi="ar"/>
              </w:rPr>
              <w:t>月</w:t>
            </w:r>
            <w:r>
              <w:rPr>
                <w:rStyle w:val="46"/>
                <w:lang w:bidi="ar"/>
              </w:rPr>
              <w:t xml:space="preserve">    </w:t>
            </w:r>
            <w:r>
              <w:rPr>
                <w:rStyle w:val="45"/>
                <w:rFonts w:hint="default"/>
                <w:lang w:bidi="ar"/>
              </w:rPr>
              <w:t>日</w:t>
            </w:r>
          </w:p>
        </w:tc>
        <w:tc>
          <w:tcPr>
            <w:tcW w:w="2100" w:type="dxa"/>
            <w:gridSpan w:val="3"/>
            <w:vMerge w:val="restart"/>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用户签章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日期</w:t>
            </w:r>
          </w:p>
        </w:tc>
        <w:tc>
          <w:tcPr>
            <w:tcW w:w="2427" w:type="dxa"/>
            <w:vMerge w:val="restart"/>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widowControl/>
              <w:ind w:firstLine="630" w:firstLineChars="300"/>
              <w:textAlignment w:val="bottom"/>
              <w:rPr>
                <w:rFonts w:ascii="宋体" w:hAnsi="宋体" w:cs="宋体"/>
                <w:color w:val="000000"/>
                <w:kern w:val="0"/>
                <w:szCs w:val="21"/>
                <w:lang w:bidi="ar"/>
              </w:rPr>
            </w:pPr>
          </w:p>
          <w:p>
            <w:pPr>
              <w:widowControl/>
              <w:ind w:firstLine="630" w:firstLineChars="300"/>
              <w:textAlignment w:val="bottom"/>
              <w:rPr>
                <w:rFonts w:ascii="宋体" w:hAnsi="宋体" w:cs="宋体"/>
                <w:color w:val="000000"/>
                <w:szCs w:val="21"/>
              </w:rPr>
            </w:pPr>
            <w:r>
              <w:rPr>
                <w:rFonts w:hint="eastAsia" w:ascii="宋体" w:hAnsi="宋体" w:cs="宋体"/>
                <w:color w:val="000000"/>
                <w:kern w:val="0"/>
                <w:szCs w:val="21"/>
                <w:lang w:bidi="ar"/>
              </w:rPr>
              <w:t xml:space="preserve"> 年    月    日  </w:t>
            </w:r>
          </w:p>
        </w:tc>
      </w:tr>
      <w:tr>
        <w:tblPrEx>
          <w:tblCellMar>
            <w:top w:w="0" w:type="dxa"/>
            <w:left w:w="0" w:type="dxa"/>
            <w:bottom w:w="0" w:type="dxa"/>
            <w:right w:w="0" w:type="dxa"/>
          </w:tblCellMar>
        </w:tblPrEx>
        <w:trPr>
          <w:trHeight w:val="649" w:hRule="atLeast"/>
          <w:jc w:val="center"/>
        </w:trPr>
        <w:tc>
          <w:tcPr>
            <w:tcW w:w="1302" w:type="dxa"/>
            <w:gridSpan w:val="2"/>
            <w:vMerge w:val="continue"/>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2671" w:type="dxa"/>
            <w:gridSpan w:val="2"/>
            <w:vMerge w:val="continue"/>
            <w:tcBorders>
              <w:top w:val="single" w:color="000000" w:sz="8" w:space="0"/>
              <w:left w:val="single" w:color="000000" w:sz="4" w:space="0"/>
              <w:bottom w:val="single" w:color="000000" w:sz="8" w:space="0"/>
              <w:right w:val="nil"/>
            </w:tcBorders>
            <w:shd w:val="clear" w:color="auto" w:fill="auto"/>
            <w:tcMar>
              <w:top w:w="15" w:type="dxa"/>
              <w:left w:w="15" w:type="dxa"/>
              <w:right w:w="15" w:type="dxa"/>
            </w:tcMar>
            <w:vAlign w:val="bottom"/>
          </w:tcPr>
          <w:p>
            <w:pPr>
              <w:jc w:val="right"/>
              <w:rPr>
                <w:rFonts w:ascii="宋体" w:hAnsi="宋体" w:cs="宋体"/>
                <w:color w:val="000000"/>
                <w:szCs w:val="21"/>
              </w:rPr>
            </w:pPr>
          </w:p>
        </w:tc>
        <w:tc>
          <w:tcPr>
            <w:tcW w:w="2100" w:type="dxa"/>
            <w:gridSpan w:val="3"/>
            <w:vMerge w:val="continue"/>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2427" w:type="dxa"/>
            <w:vMerge w:val="continue"/>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jc w:val="center"/>
              <w:rPr>
                <w:rFonts w:ascii="宋体" w:hAnsi="宋体" w:cs="宋体"/>
                <w:color w:val="000000"/>
                <w:szCs w:val="21"/>
              </w:rPr>
            </w:pPr>
          </w:p>
        </w:tc>
      </w:tr>
    </w:tbl>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b/>
          <w:bCs/>
          <w:sz w:val="24"/>
          <w:szCs w:val="24"/>
        </w:rPr>
        <w:t>附件5.营业执照和特种设备安装改造维修许可证</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4"/>
        <w:rPr>
          <w:rFonts w:ascii="仿宋_GB2312" w:hAnsi="仿宋_GB2312" w:cs="仿宋_GB2312"/>
          <w:sz w:val="28"/>
          <w:szCs w:val="28"/>
        </w:rPr>
      </w:pPr>
    </w:p>
    <w:p>
      <w:pPr>
        <w:pStyle w:val="24"/>
        <w:rPr>
          <w:rFonts w:ascii="仿宋_GB2312" w:hAnsi="仿宋_GB2312" w:cs="仿宋_GB2312"/>
          <w:sz w:val="28"/>
          <w:szCs w:val="28"/>
        </w:rPr>
      </w:pPr>
    </w:p>
    <w:p>
      <w:pPr>
        <w:pStyle w:val="24"/>
        <w:rPr>
          <w:rFonts w:ascii="仿宋_GB2312" w:hAnsi="仿宋_GB2312" w:cs="仿宋_GB2312"/>
          <w:sz w:val="28"/>
          <w:szCs w:val="28"/>
        </w:rPr>
      </w:pPr>
    </w:p>
    <w:p>
      <w:pPr>
        <w:pStyle w:val="24"/>
        <w:rPr>
          <w:rFonts w:ascii="仿宋_GB2312" w:hAnsi="仿宋_GB2312" w:cs="仿宋_GB2312"/>
          <w:sz w:val="28"/>
          <w:szCs w:val="28"/>
        </w:rPr>
      </w:pPr>
    </w:p>
    <w:p>
      <w:pPr>
        <w:pStyle w:val="24"/>
        <w:rPr>
          <w:rFonts w:ascii="仿宋_GB2312" w:hAnsi="仿宋_GB2312" w:cs="仿宋_GB2312"/>
          <w:sz w:val="28"/>
          <w:szCs w:val="28"/>
        </w:rPr>
      </w:pPr>
    </w:p>
    <w:p>
      <w:pPr>
        <w:pStyle w:val="24"/>
        <w:rPr>
          <w:rFonts w:ascii="仿宋_GB2312" w:hAnsi="仿宋_GB2312" w:cs="仿宋_GB2312"/>
          <w:sz w:val="28"/>
          <w:szCs w:val="28"/>
        </w:rPr>
      </w:pPr>
    </w:p>
    <w:p>
      <w:pPr>
        <w:pStyle w:val="24"/>
        <w:rPr>
          <w:rFonts w:ascii="仿宋_GB2312" w:hAnsi="仿宋_GB2312" w:cs="仿宋_GB2312"/>
          <w:sz w:val="28"/>
          <w:szCs w:val="28"/>
        </w:rPr>
      </w:pPr>
    </w:p>
    <w:p>
      <w:pPr>
        <w:pStyle w:val="5"/>
        <w:spacing w:line="360" w:lineRule="auto"/>
        <w:jc w:val="center"/>
        <w:rPr>
          <w:rFonts w:ascii="仿宋" w:hAnsi="仿宋" w:eastAsia="仿宋" w:cs="仿宋_GB2312"/>
          <w:color w:val="000000" w:themeColor="text1"/>
          <w14:textFill>
            <w14:solidFill>
              <w14:schemeClr w14:val="tx1"/>
            </w14:solidFill>
          </w14:textFill>
        </w:rPr>
      </w:pPr>
    </w:p>
    <w:p>
      <w:pPr>
        <w:pStyle w:val="5"/>
        <w:spacing w:line="360" w:lineRule="auto"/>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第五部分　响应文件格式</w:t>
      </w: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9"/>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9"/>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sz w:val="28"/>
          <w:szCs w:val="28"/>
          <w14:textFill>
            <w14:solidFill>
              <w14:schemeClr w14:val="tx1"/>
            </w14:solidFill>
          </w14:textFill>
        </w:rPr>
      </w:pPr>
    </w:p>
    <w:p>
      <w:pPr>
        <w:pStyle w:val="9"/>
        <w:spacing w:line="360" w:lineRule="auto"/>
        <w:ind w:firstLine="980" w:firstLineChars="3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8"/>
        <w:spacing w:line="360" w:lineRule="auto"/>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项目名称：2021年广州市净水有限公司起重设备维保维修及检测服务</w:t>
      </w: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   年      月      日</w:t>
      </w:r>
    </w:p>
    <w:p>
      <w:pPr>
        <w:widowControl/>
        <w:jc w:val="left"/>
        <w:rPr>
          <w:rFonts w:ascii="宋体" w:hAnsi="宋体" w:cs="宋体"/>
          <w:bCs/>
          <w:sz w:val="24"/>
        </w:rPr>
      </w:pPr>
      <w:r>
        <w:rPr>
          <w:rFonts w:ascii="宋体" w:hAnsi="宋体" w:cs="宋体"/>
          <w:bCs/>
          <w:sz w:val="24"/>
        </w:rPr>
        <w:br w:type="page"/>
      </w:r>
    </w:p>
    <w:p>
      <w:pPr>
        <w:pStyle w:val="5"/>
        <w:jc w:val="left"/>
      </w:pPr>
      <w:r>
        <w:rPr>
          <w:rFonts w:hint="eastAsia"/>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签发日期：单位：（盖单位公章）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附：代表人性别：年龄：身份证号码：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_GB2312" w:hAnsi="仿宋_GB2312" w:eastAsia="仿宋_GB2312" w:cs="仿宋_GB2312"/>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59264" behindDoc="0" locked="0" layoutInCell="1" allowOverlap="1">
                <wp:simplePos x="0" y="0"/>
                <wp:positionH relativeFrom="column">
                  <wp:posOffset>1449705</wp:posOffset>
                </wp:positionH>
                <wp:positionV relativeFrom="paragraph">
                  <wp:posOffset>70485</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14.15pt;margin-top:5.55pt;height:124.75pt;width:183.75pt;z-index:251659264;mso-width-relative:page;mso-height-relative:page;" fillcolor="#FFFFFF" filled="t" stroked="t" coordsize="21600,21600" o:gfxdata="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abLCdcAAAAKAQAADwAAAAAAAAABACAAAAAiAAAAZHJzL2Rvd25yZXYueG1sUEsBAhQAFAAAAAgA&#10;h07iQDKZBJrtAQAAAgQAAA4AAAAAAAAAAQAgAAAAJgEAAGRycy9lMm9Eb2MueG1sUEsFBgAAAAAG&#10;AAYAWQEAAIU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兹授权同志，为我方签订经济合同及办理其他事务代理人，其权限是：</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授权单位：（盖章）法定代表人（签名或盖私章）</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有效期限：至年月日签发日期：</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附：代理人性别：年龄：职务：身份证号码：</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说明：</w:t>
      </w:r>
      <w:r>
        <w:rPr>
          <w:rFonts w:ascii="仿宋" w:hAnsi="仿宋" w:eastAsia="仿宋" w:cs="仿宋_GB2312"/>
          <w:color w:val="000000" w:themeColor="text1"/>
          <w:sz w:val="24"/>
          <w:szCs w:val="24"/>
          <w14:textFill>
            <w14:solidFill>
              <w14:schemeClr w14:val="tx1"/>
            </w14:solidFill>
          </w14:textFill>
        </w:rPr>
        <w:t>1.法定代表人为企业事业单位、国家机关、社会团体的主要行政负责人。</w:t>
      </w:r>
    </w:p>
    <w:p>
      <w:pPr>
        <w:spacing w:line="480" w:lineRule="exact"/>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 xml:space="preserve">      2.内容必须填写真实、清楚、涂改无效，不得转让、买卖。</w:t>
      </w:r>
    </w:p>
    <w:p>
      <w:pPr>
        <w:spacing w:line="480" w:lineRule="exact"/>
        <w:ind w:firstLine="720" w:firstLineChars="300"/>
        <w:rPr>
          <w:rFonts w:ascii="仿宋" w:hAnsi="仿宋" w:eastAsia="仿宋" w:cs="仿宋_GB2312"/>
          <w:b/>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3.将此证明书提交对方作为合同附件</w:t>
      </w:r>
      <w:r>
        <w:rPr>
          <w:rFonts w:hint="eastAsia" w:ascii="仿宋" w:hAnsi="仿宋" w:eastAsia="仿宋" w:cs="仿宋_GB2312"/>
          <w:b/>
          <w:color w:val="000000" w:themeColor="text1"/>
          <w:sz w:val="24"/>
          <w:szCs w:val="24"/>
          <w14:textFill>
            <w14:solidFill>
              <w14:schemeClr w14:val="tx1"/>
            </w14:solidFill>
          </w14:textFill>
        </w:rPr>
        <w:t>。</w:t>
      </w:r>
    </w:p>
    <w:p>
      <w:pPr>
        <w:spacing w:line="480" w:lineRule="exact"/>
        <w:ind w:firstLine="720" w:firstLineChars="300"/>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6.谈判签字代表为法定代表人，则本表不适用。</w:t>
      </w:r>
    </w:p>
    <w:p>
      <w:pPr>
        <w:spacing w:line="440" w:lineRule="exact"/>
        <w:ind w:firstLine="736" w:firstLineChars="307"/>
        <w:rPr>
          <w:rFonts w:ascii="仿宋" w:hAnsi="仿宋" w:eastAsia="仿宋" w:cs="仿宋_GB2312"/>
          <w:b w:val="0"/>
          <w:color w:val="000000" w:themeColor="text1"/>
          <w:sz w:val="28"/>
          <w:szCs w:val="28"/>
          <w14:textFill>
            <w14:solidFill>
              <w14:schemeClr w14:val="tx1"/>
            </w14:solidFill>
          </w14:textFill>
        </w:rPr>
      </w:pPr>
      <w:r>
        <w:rPr>
          <w:rFonts w:hint="default" w:ascii="仿宋" w:hAnsi="仿宋" w:eastAsia="仿宋" w:cs="仿宋_GB2312"/>
          <w:b w:val="0"/>
          <w:color w:val="000000" w:themeColor="text1"/>
          <w:sz w:val="24"/>
          <w:szCs w:val="24"/>
          <w14:textFill>
            <w14:solidFill>
              <w14:schemeClr w14:val="tx1"/>
            </w14:solidFill>
          </w14:textFill>
        </w:rPr>
        <w:t>7.提供授权委托人在本单位近三个月社保记录（以加盖社会保险基金管理中心印章的《缴费历史明细表》或《社会保险参保人员证明》为准），否则为无效代理人，询价响应文件无效。</w:t>
      </w:r>
    </w:p>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3276600</wp:posOffset>
                </wp:positionH>
                <wp:positionV relativeFrom="paragraph">
                  <wp:posOffset>29210</wp:posOffset>
                </wp:positionV>
                <wp:extent cx="2333625" cy="1584325"/>
                <wp:effectExtent l="4445" t="4445" r="5080" b="11430"/>
                <wp:wrapNone/>
                <wp:docPr id="3"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代理人在本单位社保记录</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258pt;margin-top:2.3pt;height:124.75pt;width:183.75pt;z-index:251661312;mso-width-relative:page;mso-height-relative:page;" fillcolor="#FFFFFF" filled="t" stroked="t" coordsize="21600,21600" o:gfxdata="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m0BhfYAAAA&#10;CQEAAA8AAAAAAAAAAQAgAAAAIgAAAGRycy9kb3ducmV2LnhtbFBLAQIUABQAAAAIAIdO4kDPW64b&#10;HQIAAFMEAAAOAAAAAAAAAAEAIAAAACcBAABkcnMvZTJvRG9jLnhtbFBLBQYAAAAABgAGAFkBAAC2&#10;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代理人在本单位社保记录</w:t>
                      </w:r>
                    </w:p>
                    <w:p>
                      <w:pPr>
                        <w:jc w:val="center"/>
                        <w:rPr>
                          <w:szCs w:val="21"/>
                        </w:rPr>
                      </w:pPr>
                      <w:r>
                        <w:rPr>
                          <w:rFonts w:hint="eastAsia" w:hAnsi="宋体"/>
                          <w:szCs w:val="21"/>
                        </w:rPr>
                        <w:t>（盖单位公章）</w:t>
                      </w:r>
                    </w:p>
                  </w:txbxContent>
                </v:textbox>
              </v:shape>
            </w:pict>
          </mc:Fallback>
        </mc:AlternateContent>
      </w: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447675</wp:posOffset>
                </wp:positionH>
                <wp:positionV relativeFrom="paragraph">
                  <wp:posOffset>38735</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35.25pt;margin-top:3.05pt;height:124.75pt;width:183.75pt;z-index:251660288;mso-width-relative:page;mso-height-relative:page;" fillcolor="#FFFFFF" filled="t" stroked="t" coordsize="21600,21600" o:gfxdata="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0P0HNcAAAAI&#10;AQAADwAAAAAAAAABACAAAAAiAAAAZHJzL2Rvd25yZXYueG1sUEsBAhQAFAAAAAgAh07iQFOh4aMd&#10;AgAAUwQAAA4AAAAAAAAAAQAgAAAAJgEAAGRycy9lMm9Eb2MueG1sUEsFBgAAAAAGAAYAWQEAALUF&#10;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sz w:val="28"/>
          <w:szCs w:val="28"/>
          <w:u w:val="single"/>
        </w:rPr>
      </w:pPr>
    </w:p>
    <w:p>
      <w:pPr>
        <w:spacing w:line="300" w:lineRule="auto"/>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widowControl/>
        <w:jc w:val="left"/>
        <w:rPr>
          <w:rFonts w:ascii="仿宋_GB2312" w:hAnsi="仿宋_GB2312" w:eastAsia="仿宋_GB2312" w:cs="仿宋_GB2312"/>
          <w:b/>
          <w:sz w:val="28"/>
          <w:szCs w:val="28"/>
        </w:rPr>
      </w:pPr>
    </w:p>
    <w:p>
      <w:pPr>
        <w:pStyle w:val="5"/>
        <w:ind w:firstLine="562"/>
        <w:jc w:val="center"/>
        <w:rPr>
          <w:rFonts w:ascii="仿宋_GB2312" w:hAnsi="仿宋_GB2312" w:cs="仿宋_GB2312"/>
          <w:b w:val="0"/>
          <w:bCs w:val="0"/>
        </w:rPr>
      </w:pPr>
      <w:r>
        <w:rPr>
          <w:rFonts w:hint="eastAsia" w:ascii="仿宋_GB2312" w:hAnsi="仿宋_GB2312" w:cs="仿宋_GB2312"/>
          <w:bCs w:val="0"/>
        </w:rPr>
        <w:t>2资格证明文件</w:t>
      </w:r>
    </w:p>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cols w:space="720" w:num="1"/>
          <w:docGrid w:linePitch="312" w:charSpace="0"/>
        </w:sectPr>
      </w:pPr>
      <w:r>
        <w:rPr>
          <w:rFonts w:hint="eastAsia" w:ascii="仿宋_GB2312" w:hAnsi="仿宋_GB2312" w:eastAsia="仿宋_GB2312" w:cs="仿宋_GB2312"/>
          <w:sz w:val="28"/>
          <w:szCs w:val="28"/>
        </w:rPr>
        <w:t>日期：年 月 日</w:t>
      </w: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3 </w:t>
      </w:r>
      <w:r>
        <w:rPr>
          <w:rFonts w:hint="eastAsia" w:ascii="仿宋" w:hAnsi="仿宋" w:eastAsia="仿宋" w:cs="仿宋_GB2312"/>
          <w:b/>
          <w:color w:val="000000" w:themeColor="text1"/>
          <w:sz w:val="28"/>
          <w:szCs w:val="28"/>
          <w14:textFill>
            <w14:solidFill>
              <w14:schemeClr w14:val="tx1"/>
            </w14:solidFill>
          </w14:textFill>
        </w:rPr>
        <w:t>报价意向承诺及声明函</w:t>
      </w:r>
    </w:p>
    <w:p>
      <w:pPr>
        <w:jc w:val="center"/>
        <w:rPr>
          <w:rFonts w:ascii="仿宋" w:hAnsi="仿宋" w:eastAsia="仿宋" w:cs="仿宋_GB2312"/>
          <w:b/>
          <w:color w:val="000000" w:themeColor="text1"/>
          <w:sz w:val="28"/>
          <w:szCs w:val="28"/>
          <w14:textFill>
            <w14:solidFill>
              <w14:schemeClr w14:val="tx1"/>
            </w14:solidFill>
          </w14:textFill>
        </w:rPr>
      </w:pPr>
    </w:p>
    <w:p>
      <w:pPr>
        <w:pStyle w:val="42"/>
        <w:adjustRightInd w:val="0"/>
        <w:ind w:firstLine="0"/>
        <w:rPr>
          <w:rFonts w:hAnsi="仿宋" w:cs="仿宋_GB2312"/>
          <w:color w:val="000000" w:themeColor="text1"/>
          <w:sz w:val="24"/>
          <w:szCs w:val="24"/>
          <w14:textFill>
            <w14:solidFill>
              <w14:schemeClr w14:val="tx1"/>
            </w14:solidFill>
          </w14:textFill>
        </w:rPr>
      </w:pPr>
      <w:r>
        <w:rPr>
          <w:rFonts w:hint="eastAsia" w:hAnsi="仿宋" w:cs="仿宋_GB2312"/>
          <w:color w:val="000000" w:themeColor="text1"/>
          <w:sz w:val="24"/>
          <w:szCs w:val="24"/>
          <w14:textFill>
            <w14:solidFill>
              <w14:schemeClr w14:val="tx1"/>
            </w14:solidFill>
          </w14:textFill>
        </w:rPr>
        <w:t>致：</w:t>
      </w:r>
      <w:r>
        <w:rPr>
          <w:rFonts w:hint="eastAsia" w:hAnsi="仿宋" w:cs="仿宋_GB2312"/>
          <w:color w:val="000000" w:themeColor="text1"/>
          <w:sz w:val="24"/>
          <w:szCs w:val="24"/>
          <w:u w:val="single"/>
          <w14:textFill>
            <w14:solidFill>
              <w14:schemeClr w14:val="tx1"/>
            </w14:solidFill>
          </w14:textFill>
        </w:rPr>
        <w:t>（项目实施单位）</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w:t>
      </w:r>
      <w:r>
        <w:rPr>
          <w:rFonts w:hint="eastAsia" w:ascii="仿宋_GB2312" w:hAnsi="仿宋" w:eastAsia="仿宋_GB2312" w:cs="仿宋_GB2312"/>
          <w:color w:val="000000" w:themeColor="text1"/>
          <w:sz w:val="24"/>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2.现我方承诺：</w:t>
      </w:r>
      <w:r>
        <w:rPr>
          <w:rFonts w:hint="eastAsia" w:ascii="仿宋_GB2312" w:hAnsi="仿宋" w:eastAsia="仿宋_GB2312" w:cs="仿宋_GB2312"/>
          <w:color w:val="000000" w:themeColor="text1"/>
          <w:kern w:val="0"/>
          <w:sz w:val="24"/>
          <w14:textFill>
            <w14:solidFill>
              <w14:schemeClr w14:val="tx1"/>
            </w14:solidFill>
          </w14:textFill>
        </w:rPr>
        <w:t>愿以人民币[单价]元,（小写：￥元）;[总价]元,（小写：￥元）的报价，承包本次交易所包含的所有工作，并承担任何质量缺陷责任。</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5.如果我方获得承包资格，我方保证将</w:t>
      </w:r>
      <w:r>
        <w:rPr>
          <w:rFonts w:hint="eastAsia" w:ascii="仿宋_GB2312" w:hAnsi="仿宋" w:eastAsia="仿宋_GB2312"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⑷本公司及其有隶属关系的机构没有参加本项目的前期工作编写工作。</w:t>
      </w:r>
    </w:p>
    <w:p>
      <w:pPr>
        <w:pStyle w:val="41"/>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41"/>
        <w:ind w:firstLine="496"/>
        <w:rPr>
          <w:rFonts w:ascii="仿宋_GB2312" w:hAnsi="仿宋" w:eastAsia="仿宋_GB2312" w:cs="仿宋_GB2312"/>
          <w:color w:val="000000" w:themeColor="text1"/>
          <w:u w:val="single"/>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承包意向人：(盖公章)</w:t>
      </w:r>
    </w:p>
    <w:p>
      <w:pPr>
        <w:pStyle w:val="41"/>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法定代表人（签名或盖章）：</w:t>
      </w:r>
    </w:p>
    <w:p>
      <w:pPr>
        <w:pStyle w:val="41"/>
        <w:ind w:firstLine="496"/>
        <w:rPr>
          <w:rFonts w:ascii="仿宋_GB2312" w:hAnsi="仿宋_GB2312" w:eastAsia="仿宋_GB2312" w:cs="仿宋_GB2312"/>
        </w:rPr>
      </w:pPr>
      <w:r>
        <w:rPr>
          <w:rFonts w:hint="eastAsia" w:ascii="仿宋_GB2312" w:hAnsi="仿宋" w:eastAsia="仿宋_GB2312" w:cs="仿宋_GB2312"/>
          <w:color w:val="000000" w:themeColor="text1"/>
          <w14:textFill>
            <w14:solidFill>
              <w14:schemeClr w14:val="tx1"/>
            </w14:solidFill>
          </w14:textFill>
        </w:rPr>
        <w:t xml:space="preserve">日    期：  年 月 日  </w:t>
      </w:r>
    </w:p>
    <w:p>
      <w:pPr>
        <w:pStyle w:val="41"/>
        <w:ind w:firstLine="496"/>
        <w:rPr>
          <w:rFonts w:ascii="仿宋_GB2312" w:hAnsi="仿宋_GB2312" w:eastAsia="仿宋_GB2312" w:cs="仿宋_GB2312"/>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widowControl/>
        <w:tabs>
          <w:tab w:val="left" w:pos="851"/>
        </w:tabs>
        <w:adjustRightInd w:val="0"/>
        <w:snapToGrid w:val="0"/>
        <w:spacing w:line="384" w:lineRule="auto"/>
        <w:jc w:val="left"/>
        <w:rPr>
          <w:rFonts w:ascii="仿宋" w:hAnsi="仿宋" w:eastAsia="仿宋" w:cs="仿宋_GB2312"/>
          <w:b/>
          <w:color w:val="000000"/>
          <w:sz w:val="28"/>
          <w:szCs w:val="28"/>
        </w:rPr>
      </w:pPr>
    </w:p>
    <w:p>
      <w:pPr>
        <w:widowControl/>
        <w:tabs>
          <w:tab w:val="left" w:pos="851"/>
        </w:tabs>
        <w:adjustRightInd w:val="0"/>
        <w:snapToGrid w:val="0"/>
        <w:spacing w:line="384" w:lineRule="auto"/>
        <w:jc w:val="left"/>
        <w:rPr>
          <w:rFonts w:ascii="宋体" w:hAnsi="宋体" w:cs="宋体"/>
          <w:bCs/>
          <w:sz w:val="24"/>
        </w:rPr>
      </w:pPr>
      <w:r>
        <w:rPr>
          <w:rFonts w:hint="eastAsia" w:ascii="仿宋" w:hAnsi="仿宋" w:eastAsia="仿宋" w:cs="仿宋_GB2312"/>
          <w:b/>
          <w:color w:val="000000"/>
          <w:sz w:val="28"/>
          <w:szCs w:val="28"/>
        </w:rPr>
        <w:t>5 报价清单</w:t>
      </w:r>
    </w:p>
    <w:tbl>
      <w:tblPr>
        <w:tblStyle w:val="19"/>
        <w:tblW w:w="983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1"/>
        <w:gridCol w:w="724"/>
        <w:gridCol w:w="851"/>
        <w:gridCol w:w="851"/>
        <w:gridCol w:w="992"/>
        <w:gridCol w:w="851"/>
        <w:gridCol w:w="992"/>
        <w:gridCol w:w="850"/>
        <w:gridCol w:w="851"/>
        <w:gridCol w:w="850"/>
        <w:gridCol w:w="12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单位名称</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荷载</w:t>
            </w: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强检设备数量（台）</w:t>
            </w:r>
          </w:p>
        </w:tc>
        <w:tc>
          <w:tcPr>
            <w:tcW w:w="851" w:type="dxa"/>
            <w:vAlign w:val="center"/>
          </w:tcPr>
          <w:p>
            <w:pPr>
              <w:jc w:val="center"/>
              <w:rPr>
                <w:rFonts w:eastAsia="宋体" w:cs="Times New Roman" w:asciiTheme="minorEastAsia" w:hAnsiTheme="minorEastAsia"/>
                <w:kern w:val="0"/>
                <w:sz w:val="20"/>
                <w:szCs w:val="21"/>
              </w:rPr>
            </w:pPr>
            <w:r>
              <w:rPr>
                <w:rFonts w:hint="eastAsia" w:ascii="Times New Roman" w:hAnsi="宋体" w:eastAsia="宋体" w:cs="Times New Roman"/>
                <w:kern w:val="0"/>
                <w:sz w:val="20"/>
                <w:szCs w:val="21"/>
              </w:rPr>
              <w:t>价格（每台次/元）</w:t>
            </w:r>
          </w:p>
        </w:tc>
        <w:tc>
          <w:tcPr>
            <w:tcW w:w="992"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非强检设备数量（台）</w:t>
            </w:r>
          </w:p>
        </w:tc>
        <w:tc>
          <w:tcPr>
            <w:tcW w:w="851" w:type="dxa"/>
            <w:vAlign w:val="center"/>
          </w:tcPr>
          <w:p>
            <w:pPr>
              <w:jc w:val="center"/>
              <w:rPr>
                <w:rFonts w:eastAsia="宋体" w:cs="Times New Roman" w:asciiTheme="minorEastAsia" w:hAnsiTheme="minorEastAsia"/>
                <w:kern w:val="0"/>
                <w:sz w:val="20"/>
                <w:szCs w:val="21"/>
              </w:rPr>
            </w:pPr>
            <w:r>
              <w:rPr>
                <w:rFonts w:hint="eastAsia" w:ascii="Times New Roman" w:hAnsi="宋体" w:eastAsia="宋体" w:cs="Times New Roman"/>
                <w:kern w:val="0"/>
                <w:sz w:val="20"/>
                <w:szCs w:val="21"/>
              </w:rPr>
              <w:t>价格（每台次/元）</w:t>
            </w:r>
          </w:p>
        </w:tc>
        <w:tc>
          <w:tcPr>
            <w:tcW w:w="992"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每月安全检查（台）</w:t>
            </w:r>
          </w:p>
        </w:tc>
        <w:tc>
          <w:tcPr>
            <w:tcW w:w="850" w:type="dxa"/>
            <w:vAlign w:val="center"/>
          </w:tcPr>
          <w:p>
            <w:pPr>
              <w:jc w:val="center"/>
              <w:rPr>
                <w:rFonts w:eastAsia="宋体" w:cs="Times New Roman" w:asciiTheme="minorEastAsia" w:hAnsiTheme="minorEastAsia"/>
                <w:kern w:val="0"/>
                <w:sz w:val="20"/>
                <w:szCs w:val="21"/>
              </w:rPr>
            </w:pPr>
            <w:r>
              <w:rPr>
                <w:rFonts w:hint="eastAsia" w:ascii="Times New Roman" w:hAnsi="宋体" w:eastAsia="宋体" w:cs="Times New Roman"/>
                <w:kern w:val="0"/>
                <w:sz w:val="20"/>
                <w:szCs w:val="21"/>
              </w:rPr>
              <w:t>价格（每台元/月）</w:t>
            </w: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每季维保数量（台）</w:t>
            </w:r>
          </w:p>
        </w:tc>
        <w:tc>
          <w:tcPr>
            <w:tcW w:w="850" w:type="dxa"/>
            <w:vAlign w:val="center"/>
          </w:tcPr>
          <w:p>
            <w:pPr>
              <w:jc w:val="center"/>
              <w:rPr>
                <w:rFonts w:eastAsia="宋体" w:cs="Times New Roman" w:asciiTheme="minorEastAsia" w:hAnsiTheme="minorEastAsia"/>
                <w:kern w:val="0"/>
                <w:sz w:val="20"/>
                <w:szCs w:val="21"/>
              </w:rPr>
            </w:pPr>
            <w:r>
              <w:rPr>
                <w:rFonts w:hint="eastAsia" w:ascii="Times New Roman" w:hAnsi="宋体" w:eastAsia="宋体" w:cs="Times New Roman"/>
                <w:kern w:val="0"/>
                <w:sz w:val="20"/>
                <w:szCs w:val="21"/>
              </w:rPr>
              <w:t>价格（每台元/季）</w:t>
            </w:r>
          </w:p>
        </w:tc>
        <w:tc>
          <w:tcPr>
            <w:tcW w:w="1217"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小计（元）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5"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猎德分公司</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w:t>
            </w:r>
            <w:r>
              <w:rPr>
                <w:rFonts w:eastAsia="宋体" w:cs="Times New Roman" w:asciiTheme="minorEastAsia" w:hAnsiTheme="minorEastAsia"/>
                <w:kern w:val="0"/>
                <w:sz w:val="20"/>
                <w:szCs w:val="21"/>
              </w:rPr>
              <w:t>5</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w:t>
            </w:r>
            <w:r>
              <w:rPr>
                <w:rFonts w:eastAsia="宋体" w:cs="Times New Roman" w:asciiTheme="minorEastAsia" w:hAnsiTheme="minorEastAsia"/>
                <w:kern w:val="0"/>
                <w:sz w:val="20"/>
                <w:szCs w:val="21"/>
              </w:rPr>
              <w:t>5</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5"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大坦沙分公司</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6</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48</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48</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7"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沥滘分公司</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2</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9</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35</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w:t>
            </w:r>
            <w:r>
              <w:rPr>
                <w:rFonts w:eastAsia="宋体" w:cs="Times New Roman" w:asciiTheme="minorEastAsia" w:hAnsiTheme="minorEastAsia"/>
                <w:kern w:val="0"/>
                <w:sz w:val="20"/>
                <w:szCs w:val="21"/>
              </w:rPr>
              <w:t>5</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9"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石井分公司</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19</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19</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石井净水分公司</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21</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w:t>
            </w:r>
            <w:r>
              <w:rPr>
                <w:rFonts w:eastAsia="宋体" w:cs="Times New Roman" w:asciiTheme="minorEastAsia" w:hAnsiTheme="minorEastAsia"/>
                <w:kern w:val="0"/>
                <w:sz w:val="20"/>
                <w:szCs w:val="21"/>
              </w:rPr>
              <w:t>1</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9"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京溪分公司</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5</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7</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7</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龙归分公司</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17</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39</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w:t>
            </w:r>
            <w:r>
              <w:rPr>
                <w:rFonts w:eastAsia="宋体" w:cs="Times New Roman" w:asciiTheme="minorEastAsia" w:hAnsiTheme="minorEastAsia"/>
                <w:kern w:val="0"/>
                <w:sz w:val="20"/>
                <w:szCs w:val="21"/>
              </w:rPr>
              <w:t>9</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9"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竹料分公司</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11</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1</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大沙地分公司</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36</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w:t>
            </w:r>
            <w:r>
              <w:rPr>
                <w:rFonts w:eastAsia="宋体" w:cs="Times New Roman" w:asciiTheme="minorEastAsia" w:hAnsiTheme="minorEastAsia"/>
                <w:kern w:val="0"/>
                <w:sz w:val="20"/>
                <w:szCs w:val="21"/>
              </w:rPr>
              <w:t>6</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健康城分公司</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7</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7</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大观分公司</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4</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4</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江高分公司</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w:t>
            </w:r>
            <w:r>
              <w:rPr>
                <w:rFonts w:eastAsia="宋体" w:cs="Times New Roman" w:asciiTheme="minorEastAsia" w:hAnsiTheme="minorEastAsia"/>
                <w:kern w:val="0"/>
                <w:sz w:val="20"/>
                <w:szCs w:val="21"/>
              </w:rPr>
              <w:t>1</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w:t>
            </w:r>
            <w:r>
              <w:rPr>
                <w:rFonts w:eastAsia="宋体" w:cs="Times New Roman" w:asciiTheme="minorEastAsia" w:hAnsiTheme="minorEastAsia"/>
                <w:kern w:val="0"/>
                <w:sz w:val="20"/>
                <w:szCs w:val="21"/>
              </w:rPr>
              <w:t>1</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jc w:val="center"/>
        </w:trPr>
        <w:tc>
          <w:tcPr>
            <w:tcW w:w="80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西朗二期</w:t>
            </w:r>
          </w:p>
        </w:tc>
        <w:tc>
          <w:tcPr>
            <w:tcW w:w="724"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w:t>
            </w:r>
            <w:r>
              <w:rPr>
                <w:rFonts w:eastAsia="宋体" w:cs="Times New Roman" w:asciiTheme="minorEastAsia" w:hAnsiTheme="minorEastAsia"/>
                <w:kern w:val="0"/>
                <w:sz w:val="20"/>
                <w:szCs w:val="21"/>
              </w:rPr>
              <w:t>-32T</w:t>
            </w: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w:t>
            </w:r>
            <w:r>
              <w:rPr>
                <w:rFonts w:eastAsia="宋体" w:cs="Times New Roman" w:asciiTheme="minorEastAsia" w:hAnsiTheme="minorEastAsia"/>
                <w:kern w:val="0"/>
                <w:sz w:val="20"/>
                <w:szCs w:val="21"/>
              </w:rPr>
              <w:t>0</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4</w:t>
            </w:r>
          </w:p>
        </w:tc>
        <w:tc>
          <w:tcPr>
            <w:tcW w:w="851" w:type="dxa"/>
          </w:tcPr>
          <w:p>
            <w:pPr>
              <w:jc w:val="center"/>
              <w:rPr>
                <w:rFonts w:eastAsia="宋体" w:cs="Times New Roman" w:asciiTheme="minorEastAsia" w:hAnsiTheme="minorEastAsia"/>
                <w:kern w:val="0"/>
                <w:sz w:val="20"/>
                <w:szCs w:val="21"/>
              </w:rPr>
            </w:pPr>
          </w:p>
        </w:tc>
        <w:tc>
          <w:tcPr>
            <w:tcW w:w="992"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w:t>
            </w:r>
            <w:r>
              <w:rPr>
                <w:rFonts w:eastAsia="宋体" w:cs="Times New Roman" w:asciiTheme="minorEastAsia" w:hAnsiTheme="minorEastAsia"/>
                <w:kern w:val="0"/>
                <w:sz w:val="20"/>
                <w:szCs w:val="21"/>
              </w:rPr>
              <w:t>4</w:t>
            </w:r>
          </w:p>
        </w:tc>
        <w:tc>
          <w:tcPr>
            <w:tcW w:w="850" w:type="dxa"/>
          </w:tcPr>
          <w:p>
            <w:pPr>
              <w:jc w:val="center"/>
              <w:rPr>
                <w:rFonts w:eastAsia="宋体" w:cs="Times New Roman" w:asciiTheme="minorEastAsia" w:hAnsiTheme="minorEastAsia"/>
                <w:kern w:val="0"/>
                <w:sz w:val="20"/>
                <w:szCs w:val="21"/>
              </w:rPr>
            </w:pPr>
          </w:p>
        </w:tc>
        <w:tc>
          <w:tcPr>
            <w:tcW w:w="851" w:type="dxa"/>
            <w:vAlign w:val="center"/>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w:t>
            </w:r>
            <w:r>
              <w:rPr>
                <w:rFonts w:eastAsia="宋体" w:cs="Times New Roman" w:asciiTheme="minorEastAsia" w:hAnsiTheme="minorEastAsia"/>
                <w:kern w:val="0"/>
                <w:sz w:val="20"/>
                <w:szCs w:val="21"/>
              </w:rPr>
              <w:t>4</w:t>
            </w:r>
          </w:p>
        </w:tc>
        <w:tc>
          <w:tcPr>
            <w:tcW w:w="850" w:type="dxa"/>
          </w:tcPr>
          <w:p>
            <w:pPr>
              <w:jc w:val="center"/>
              <w:rPr>
                <w:rFonts w:eastAsia="宋体" w:cs="Times New Roman" w:asciiTheme="minorEastAsia" w:hAnsiTheme="minorEastAsia"/>
                <w:kern w:val="0"/>
                <w:sz w:val="20"/>
                <w:szCs w:val="21"/>
              </w:rPr>
            </w:pPr>
          </w:p>
        </w:tc>
        <w:tc>
          <w:tcPr>
            <w:tcW w:w="1217" w:type="dxa"/>
          </w:tcPr>
          <w:p>
            <w:pPr>
              <w:jc w:val="center"/>
              <w:rPr>
                <w:rFonts w:eastAsia="宋体" w:cs="Times New Roman" w:asciiTheme="minorEastAsia" w:hAnsiTheme="minorEastAsia"/>
                <w:kern w:val="0"/>
                <w:sz w:val="2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jc w:val="center"/>
        </w:trPr>
        <w:tc>
          <w:tcPr>
            <w:tcW w:w="3227" w:type="dxa"/>
            <w:gridSpan w:val="4"/>
            <w:vAlign w:val="center"/>
          </w:tcPr>
          <w:p>
            <w:pPr>
              <w:jc w:val="center"/>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合计总金额</w:t>
            </w:r>
            <w:r>
              <w:rPr>
                <w:rFonts w:hint="eastAsia" w:eastAsia="宋体" w:cs="Times New Roman" w:asciiTheme="minorEastAsia" w:hAnsiTheme="minorEastAsia"/>
                <w:kern w:val="0"/>
                <w:sz w:val="20"/>
                <w:szCs w:val="21"/>
              </w:rPr>
              <w:t>（元）</w:t>
            </w:r>
          </w:p>
        </w:tc>
        <w:tc>
          <w:tcPr>
            <w:tcW w:w="2835" w:type="dxa"/>
            <w:gridSpan w:val="3"/>
            <w:vAlign w:val="center"/>
          </w:tcPr>
          <w:p>
            <w:pPr>
              <w:jc w:val="center"/>
              <w:rPr>
                <w:rFonts w:eastAsia="宋体" w:cs="Times New Roman" w:asciiTheme="minorEastAsia" w:hAnsiTheme="minorEastAsia"/>
                <w:kern w:val="0"/>
                <w:sz w:val="20"/>
                <w:szCs w:val="21"/>
              </w:rPr>
            </w:pPr>
          </w:p>
        </w:tc>
        <w:tc>
          <w:tcPr>
            <w:tcW w:w="3768" w:type="dxa"/>
            <w:gridSpan w:val="4"/>
          </w:tcPr>
          <w:p>
            <w:pPr>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合计总金额仅作为签约依据，最终合同价格依据本合同结算条款计算得出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jc w:val="center"/>
        </w:trPr>
        <w:tc>
          <w:tcPr>
            <w:tcW w:w="9830" w:type="dxa"/>
            <w:gridSpan w:val="11"/>
            <w:vAlign w:val="center"/>
          </w:tcPr>
          <w:p>
            <w:pPr>
              <w:rPr>
                <w:rFonts w:eastAsia="宋体" w:cs="宋体" w:asciiTheme="minorEastAsia" w:hAnsiTheme="minorEastAsia"/>
                <w:kern w:val="0"/>
                <w:sz w:val="20"/>
                <w:szCs w:val="21"/>
              </w:rPr>
            </w:pPr>
            <w:r>
              <w:rPr>
                <w:rFonts w:hint="eastAsia" w:eastAsia="宋体" w:cs="宋体" w:asciiTheme="minorEastAsia" w:hAnsiTheme="minorEastAsia"/>
                <w:kern w:val="0"/>
                <w:sz w:val="20"/>
                <w:szCs w:val="21"/>
              </w:rPr>
              <w:t>备注：1</w:t>
            </w:r>
            <w:r>
              <w:rPr>
                <w:rFonts w:eastAsia="宋体" w:cs="宋体" w:asciiTheme="minorEastAsia" w:hAnsiTheme="minorEastAsia"/>
                <w:kern w:val="0"/>
                <w:sz w:val="20"/>
                <w:szCs w:val="21"/>
              </w:rPr>
              <w:t>.</w:t>
            </w:r>
            <w:r>
              <w:rPr>
                <w:rFonts w:hint="eastAsia" w:eastAsia="宋体" w:cs="宋体" w:asciiTheme="minorEastAsia" w:hAnsiTheme="minorEastAsia"/>
                <w:kern w:val="0"/>
                <w:sz w:val="20"/>
                <w:szCs w:val="21"/>
              </w:rPr>
              <w:t>以上服务项目固定价格含增值税专用发票。</w:t>
            </w:r>
          </w:p>
          <w:p>
            <w:pPr>
              <w:rPr>
                <w:rFonts w:eastAsia="宋体" w:cs="宋体" w:asciiTheme="minorEastAsia" w:hAnsiTheme="minorEastAsia"/>
                <w:kern w:val="0"/>
                <w:sz w:val="20"/>
                <w:szCs w:val="21"/>
              </w:rPr>
            </w:pPr>
            <w:r>
              <w:rPr>
                <w:rFonts w:hint="eastAsia" w:eastAsia="宋体" w:cs="宋体" w:asciiTheme="minorEastAsia" w:hAnsiTheme="minorEastAsia"/>
                <w:kern w:val="0"/>
                <w:sz w:val="20"/>
                <w:szCs w:val="21"/>
              </w:rPr>
              <w:t xml:space="preserve"> </w:t>
            </w:r>
            <w:r>
              <w:rPr>
                <w:rFonts w:eastAsia="宋体" w:cs="宋体" w:asciiTheme="minorEastAsia" w:hAnsiTheme="minorEastAsia"/>
                <w:kern w:val="0"/>
                <w:sz w:val="20"/>
                <w:szCs w:val="21"/>
              </w:rPr>
              <w:t xml:space="preserve">     2.以上服务项目固定价格含上门维修服务费用</w:t>
            </w:r>
            <w:r>
              <w:rPr>
                <w:rFonts w:hint="eastAsia" w:eastAsia="宋体" w:cs="宋体" w:asciiTheme="minorEastAsia" w:hAnsiTheme="minorEastAsia"/>
                <w:kern w:val="0"/>
                <w:sz w:val="20"/>
                <w:szCs w:val="21"/>
              </w:rPr>
              <w:t>（更换单件1</w:t>
            </w:r>
            <w:r>
              <w:rPr>
                <w:rFonts w:eastAsia="宋体" w:cs="宋体" w:asciiTheme="minorEastAsia" w:hAnsiTheme="minorEastAsia"/>
                <w:kern w:val="0"/>
                <w:sz w:val="20"/>
                <w:szCs w:val="21"/>
              </w:rPr>
              <w:t>00元以上的元件</w:t>
            </w:r>
            <w:r>
              <w:rPr>
                <w:rFonts w:hint="eastAsia" w:eastAsia="宋体" w:cs="宋体" w:asciiTheme="minorEastAsia" w:hAnsiTheme="minorEastAsia"/>
                <w:kern w:val="0"/>
                <w:sz w:val="20"/>
                <w:szCs w:val="21"/>
              </w:rPr>
              <w:t>费用另算）。</w:t>
            </w:r>
          </w:p>
          <w:p>
            <w:pPr>
              <w:rPr>
                <w:rFonts w:eastAsia="宋体" w:cs="Times New Roman" w:asciiTheme="minorEastAsia" w:hAnsiTheme="minorEastAsia"/>
                <w:color w:val="000000"/>
                <w:kern w:val="0"/>
                <w:sz w:val="20"/>
                <w:szCs w:val="21"/>
              </w:rPr>
            </w:pPr>
            <w:r>
              <w:rPr>
                <w:rFonts w:hint="eastAsia" w:eastAsia="宋体" w:cs="宋体" w:asciiTheme="minorEastAsia" w:hAnsiTheme="minorEastAsia"/>
                <w:kern w:val="0"/>
                <w:sz w:val="20"/>
                <w:szCs w:val="21"/>
              </w:rPr>
              <w:t xml:space="preserve"> </w:t>
            </w:r>
            <w:r>
              <w:rPr>
                <w:rFonts w:eastAsia="宋体" w:cs="宋体" w:asciiTheme="minorEastAsia" w:hAnsiTheme="minorEastAsia"/>
                <w:kern w:val="0"/>
                <w:sz w:val="20"/>
                <w:szCs w:val="21"/>
              </w:rPr>
              <w:t xml:space="preserve">     3.强检与非强检设备检测价格包括特检院一切费用</w:t>
            </w:r>
            <w:r>
              <w:rPr>
                <w:rFonts w:hint="eastAsia" w:eastAsia="宋体" w:cs="宋体" w:asciiTheme="minorEastAsia" w:hAnsiTheme="minorEastAsia"/>
                <w:kern w:val="0"/>
                <w:sz w:val="20"/>
                <w:szCs w:val="21"/>
              </w:rPr>
              <w:t>。</w:t>
            </w:r>
          </w:p>
          <w:p>
            <w:pPr>
              <w:jc w:val="center"/>
              <w:rPr>
                <w:rFonts w:eastAsia="宋体" w:cs="Times New Roman" w:asciiTheme="minorEastAsia" w:hAnsiTheme="minorEastAsia"/>
                <w:kern w:val="0"/>
                <w:sz w:val="20"/>
                <w:szCs w:val="21"/>
              </w:rPr>
            </w:pPr>
          </w:p>
        </w:tc>
      </w:tr>
    </w:tbl>
    <w:p>
      <w:pPr>
        <w:jc w:val="left"/>
        <w:rPr>
          <w:rFonts w:ascii="仿宋" w:hAnsi="仿宋" w:eastAsia="仿宋" w:cs="仿宋"/>
          <w:b/>
          <w:bCs/>
          <w:sz w:val="28"/>
          <w:szCs w:val="36"/>
        </w:rPr>
      </w:pPr>
    </w:p>
    <w:p>
      <w:pPr>
        <w:jc w:val="center"/>
        <w:rPr>
          <w:rFonts w:ascii="仿宋" w:hAnsi="仿宋" w:eastAsia="仿宋" w:cs="仿宋_GB2312"/>
          <w:b/>
          <w:color w:val="000000"/>
          <w:sz w:val="28"/>
          <w:szCs w:val="28"/>
        </w:rPr>
      </w:pPr>
    </w:p>
    <w:p>
      <w:pPr>
        <w:pStyle w:val="24"/>
        <w:rPr>
          <w:rFonts w:ascii="仿宋" w:hAnsi="仿宋" w:eastAsia="仿宋" w:cs="仿宋_GB2312"/>
          <w:b/>
          <w:sz w:val="28"/>
          <w:szCs w:val="28"/>
        </w:rPr>
      </w:pPr>
    </w:p>
    <w:p>
      <w:pPr>
        <w:pStyle w:val="24"/>
        <w:rPr>
          <w:rFonts w:ascii="仿宋" w:hAnsi="仿宋" w:eastAsia="仿宋" w:cs="仿宋_GB2312"/>
          <w:b/>
          <w:sz w:val="28"/>
          <w:szCs w:val="28"/>
        </w:rPr>
      </w:pP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lang w:val="en-US" w:eastAsia="zh-CN"/>
        </w:rPr>
        <w:t>6</w:t>
      </w:r>
      <w:r>
        <w:rPr>
          <w:rFonts w:hint="eastAsia" w:ascii="仿宋" w:hAnsi="仿宋" w:eastAsia="仿宋" w:cs="仿宋_GB2312"/>
          <w:b/>
          <w:color w:val="000000"/>
          <w:sz w:val="28"/>
          <w:szCs w:val="28"/>
        </w:rPr>
        <w:t>项目单位、人员资格情况</w:t>
      </w:r>
    </w:p>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8AFjRAAAAAgEAAA8AAAAA&#10;AAAAAQAgAAAAIgAAAGRycy9kb3ducmV2LnhtbFBLAQIUABQAAAAIAIdO4kBmwhEFGwIAABIEAAAO&#10;AAAAAAAAAAEAIAAAACABAABkcnMvZTJvRG9jLnhtbFBLBQYAAAAABgAGAFkBAACt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23</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744F3B"/>
    <w:multiLevelType w:val="singleLevel"/>
    <w:tmpl w:val="D1744F3B"/>
    <w:lvl w:ilvl="0" w:tentative="0">
      <w:start w:val="4"/>
      <w:numFmt w:val="chineseCounting"/>
      <w:suff w:val="space"/>
      <w:lvlText w:val="第%1条"/>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173"/>
    <w:rsid w:val="001E625B"/>
    <w:rsid w:val="002856A3"/>
    <w:rsid w:val="00424E42"/>
    <w:rsid w:val="00730928"/>
    <w:rsid w:val="00813E17"/>
    <w:rsid w:val="008C75F4"/>
    <w:rsid w:val="008E01BA"/>
    <w:rsid w:val="009802E1"/>
    <w:rsid w:val="00986E24"/>
    <w:rsid w:val="00B5601C"/>
    <w:rsid w:val="00C16DB8"/>
    <w:rsid w:val="00CC6DBE"/>
    <w:rsid w:val="00CD367D"/>
    <w:rsid w:val="00D01173"/>
    <w:rsid w:val="00DD3158"/>
    <w:rsid w:val="00EF3533"/>
    <w:rsid w:val="00F32A6D"/>
    <w:rsid w:val="011861EC"/>
    <w:rsid w:val="01936D21"/>
    <w:rsid w:val="04DA06E1"/>
    <w:rsid w:val="04FE5779"/>
    <w:rsid w:val="07725290"/>
    <w:rsid w:val="07BF3AB4"/>
    <w:rsid w:val="0B0E02BD"/>
    <w:rsid w:val="0D813FE1"/>
    <w:rsid w:val="0E8169DB"/>
    <w:rsid w:val="0F5674F6"/>
    <w:rsid w:val="14110A93"/>
    <w:rsid w:val="14D65198"/>
    <w:rsid w:val="15721771"/>
    <w:rsid w:val="18D61B0A"/>
    <w:rsid w:val="19C56415"/>
    <w:rsid w:val="1FCF3BFE"/>
    <w:rsid w:val="20D75147"/>
    <w:rsid w:val="233A0EBB"/>
    <w:rsid w:val="23F35F3F"/>
    <w:rsid w:val="24811896"/>
    <w:rsid w:val="24DE2C81"/>
    <w:rsid w:val="26F47A79"/>
    <w:rsid w:val="28464935"/>
    <w:rsid w:val="2960629E"/>
    <w:rsid w:val="29EB3E51"/>
    <w:rsid w:val="2B2B2BB9"/>
    <w:rsid w:val="2B2C0367"/>
    <w:rsid w:val="2B442FB1"/>
    <w:rsid w:val="2C314083"/>
    <w:rsid w:val="2EE84CEF"/>
    <w:rsid w:val="34297634"/>
    <w:rsid w:val="36ED6798"/>
    <w:rsid w:val="37B20D5D"/>
    <w:rsid w:val="38BF05FC"/>
    <w:rsid w:val="393216C5"/>
    <w:rsid w:val="3A6A6D29"/>
    <w:rsid w:val="3A7229DD"/>
    <w:rsid w:val="3A931E18"/>
    <w:rsid w:val="3B145C64"/>
    <w:rsid w:val="3BD551E3"/>
    <w:rsid w:val="3D907EE6"/>
    <w:rsid w:val="3D9C2D5D"/>
    <w:rsid w:val="3F8F0EF1"/>
    <w:rsid w:val="409A42F0"/>
    <w:rsid w:val="41563658"/>
    <w:rsid w:val="42160EE5"/>
    <w:rsid w:val="42BC3D34"/>
    <w:rsid w:val="44275925"/>
    <w:rsid w:val="44DE721E"/>
    <w:rsid w:val="461E1356"/>
    <w:rsid w:val="48784409"/>
    <w:rsid w:val="48A164E5"/>
    <w:rsid w:val="49DC3DDA"/>
    <w:rsid w:val="4C014C0B"/>
    <w:rsid w:val="4C4B40E5"/>
    <w:rsid w:val="4C754E13"/>
    <w:rsid w:val="4E4C2149"/>
    <w:rsid w:val="4FCA3F28"/>
    <w:rsid w:val="50DF265A"/>
    <w:rsid w:val="525B79BA"/>
    <w:rsid w:val="52C23CB5"/>
    <w:rsid w:val="53026A79"/>
    <w:rsid w:val="547A2414"/>
    <w:rsid w:val="560D3446"/>
    <w:rsid w:val="56F96BC2"/>
    <w:rsid w:val="58C2302E"/>
    <w:rsid w:val="590876B8"/>
    <w:rsid w:val="5A35441D"/>
    <w:rsid w:val="5C0566A4"/>
    <w:rsid w:val="5C8D5C23"/>
    <w:rsid w:val="5EBD0F47"/>
    <w:rsid w:val="5EC72F1B"/>
    <w:rsid w:val="62A27EAA"/>
    <w:rsid w:val="659C3E72"/>
    <w:rsid w:val="65BE01B6"/>
    <w:rsid w:val="65C9235A"/>
    <w:rsid w:val="67A31BE1"/>
    <w:rsid w:val="6AF53121"/>
    <w:rsid w:val="6D7A78C6"/>
    <w:rsid w:val="6DB472E4"/>
    <w:rsid w:val="6FC03DB1"/>
    <w:rsid w:val="70F865E4"/>
    <w:rsid w:val="718E2665"/>
    <w:rsid w:val="764410E7"/>
    <w:rsid w:val="77B80D33"/>
    <w:rsid w:val="7C6C7275"/>
    <w:rsid w:val="7E4B4463"/>
    <w:rsid w:val="7F302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2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semiHidden/>
    <w:unhideWhenUsed/>
    <w:qFormat/>
    <w:uiPriority w:val="9"/>
    <w:pPr>
      <w:keepNext/>
      <w:keepLines/>
      <w:spacing w:before="260" w:after="260" w:line="416" w:lineRule="auto"/>
      <w:outlineLvl w:val="2"/>
    </w:pPr>
    <w:rPr>
      <w:b/>
      <w:bCs/>
      <w:sz w:val="32"/>
      <w:szCs w:val="32"/>
    </w:rPr>
  </w:style>
  <w:style w:type="paragraph" w:styleId="6">
    <w:name w:val="heading 5"/>
    <w:basedOn w:val="1"/>
    <w:next w:val="1"/>
    <w:link w:val="29"/>
    <w:unhideWhenUsed/>
    <w:qFormat/>
    <w:uiPriority w:val="9"/>
    <w:pPr>
      <w:keepNext/>
      <w:keepLines/>
      <w:widowControl/>
      <w:spacing w:before="40" w:line="259" w:lineRule="auto"/>
      <w:jc w:val="left"/>
      <w:outlineLvl w:val="4"/>
    </w:pPr>
    <w:rPr>
      <w:rFonts w:asciiTheme="majorHAnsi" w:hAnsiTheme="majorHAnsi" w:eastAsiaTheme="majorEastAsia" w:cstheme="majorBidi"/>
      <w:color w:val="2E75B6" w:themeColor="accent1" w:themeShade="BF"/>
      <w:kern w:val="0"/>
      <w:sz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after="120" w:line="240" w:lineRule="auto"/>
      <w:ind w:firstLine="420"/>
    </w:pPr>
    <w:rPr>
      <w:kern w:val="2"/>
      <w:sz w:val="21"/>
    </w:rPr>
  </w:style>
  <w:style w:type="paragraph" w:styleId="3">
    <w:name w:val="Body Text"/>
    <w:basedOn w:val="1"/>
    <w:unhideWhenUsed/>
    <w:qFormat/>
    <w:uiPriority w:val="99"/>
    <w:rPr>
      <w:sz w:val="28"/>
    </w:rPr>
  </w:style>
  <w:style w:type="paragraph" w:styleId="7">
    <w:name w:val="annotation text"/>
    <w:basedOn w:val="1"/>
    <w:link w:val="30"/>
    <w:qFormat/>
    <w:uiPriority w:val="0"/>
    <w:pPr>
      <w:jc w:val="left"/>
    </w:pPr>
    <w:rPr>
      <w:rFonts w:ascii="Times New Roman" w:hAnsi="Times New Roman" w:eastAsia="宋体" w:cs="Times New Roman"/>
      <w:szCs w:val="24"/>
    </w:rPr>
  </w:style>
  <w:style w:type="paragraph" w:styleId="8">
    <w:name w:val="Body Text Indent"/>
    <w:basedOn w:val="1"/>
    <w:link w:val="31"/>
    <w:semiHidden/>
    <w:unhideWhenUsed/>
    <w:qFormat/>
    <w:uiPriority w:val="99"/>
    <w:pPr>
      <w:spacing w:after="120"/>
      <w:ind w:left="420" w:leftChars="200"/>
    </w:pPr>
  </w:style>
  <w:style w:type="paragraph" w:styleId="9">
    <w:name w:val="Plain Text"/>
    <w:basedOn w:val="1"/>
    <w:link w:val="32"/>
    <w:qFormat/>
    <w:uiPriority w:val="0"/>
    <w:rPr>
      <w:rFonts w:ascii="宋体" w:hAnsi="Courier New" w:eastAsia="宋体" w:cs="Courier New"/>
      <w:szCs w:val="21"/>
    </w:rPr>
  </w:style>
  <w:style w:type="paragraph" w:styleId="10">
    <w:name w:val="Body Text Indent 2"/>
    <w:basedOn w:val="1"/>
    <w:link w:val="33"/>
    <w:qFormat/>
    <w:uiPriority w:val="0"/>
    <w:pPr>
      <w:spacing w:after="120" w:line="480" w:lineRule="auto"/>
      <w:ind w:left="420" w:leftChars="200"/>
    </w:pPr>
  </w:style>
  <w:style w:type="paragraph" w:styleId="11">
    <w:name w:val="Balloon Text"/>
    <w:basedOn w:val="1"/>
    <w:link w:val="34"/>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rPr>
      <w:rFonts w:ascii="Times New Roman" w:hAnsi="Times New Roman" w:eastAsia="宋体" w:cs="Times New Roman"/>
      <w:szCs w:val="24"/>
    </w:rPr>
  </w:style>
  <w:style w:type="paragraph" w:styleId="15">
    <w:name w:val="Body Text Indent 3"/>
    <w:basedOn w:val="1"/>
    <w:link w:val="35"/>
    <w:qFormat/>
    <w:uiPriority w:val="99"/>
    <w:pPr>
      <w:widowControl/>
      <w:spacing w:after="120" w:line="259" w:lineRule="auto"/>
      <w:ind w:left="420" w:leftChars="200"/>
      <w:jc w:val="left"/>
    </w:pPr>
    <w:rPr>
      <w:kern w:val="0"/>
      <w:sz w:val="16"/>
      <w:szCs w:val="16"/>
    </w:rPr>
  </w:style>
  <w:style w:type="paragraph" w:styleId="16">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7">
    <w:name w:val="Title"/>
    <w:basedOn w:val="1"/>
    <w:next w:val="1"/>
    <w:link w:val="36"/>
    <w:qFormat/>
    <w:uiPriority w:val="0"/>
    <w:pPr>
      <w:spacing w:before="240" w:after="60"/>
      <w:jc w:val="center"/>
      <w:outlineLvl w:val="0"/>
    </w:pPr>
    <w:rPr>
      <w:rFonts w:ascii="Cambria" w:hAnsi="Cambria" w:eastAsia="宋体" w:cs="Times New Roman"/>
      <w:b/>
      <w:bCs/>
      <w:sz w:val="32"/>
      <w:szCs w:val="32"/>
    </w:rPr>
  </w:style>
  <w:style w:type="table" w:styleId="19">
    <w:name w:val="Table Grid"/>
    <w:basedOn w:val="18"/>
    <w:qFormat/>
    <w:uiPriority w:val="9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Strong"/>
    <w:basedOn w:val="20"/>
    <w:qFormat/>
    <w:uiPriority w:val="22"/>
    <w:rPr>
      <w:rFonts w:eastAsia="宋体"/>
      <w:b/>
      <w:bCs/>
      <w:kern w:val="2"/>
      <w:sz w:val="24"/>
      <w:szCs w:val="24"/>
      <w:lang w:val="en-US" w:eastAsia="zh-CN" w:bidi="ar-SA"/>
    </w:rPr>
  </w:style>
  <w:style w:type="character" w:styleId="22">
    <w:name w:val="page number"/>
    <w:basedOn w:val="20"/>
    <w:qFormat/>
    <w:uiPriority w:val="0"/>
  </w:style>
  <w:style w:type="character" w:styleId="23">
    <w:name w:val="annotation reference"/>
    <w:basedOn w:val="20"/>
    <w:qFormat/>
    <w:uiPriority w:val="0"/>
    <w:rPr>
      <w:sz w:val="21"/>
      <w:szCs w:val="21"/>
    </w:rPr>
  </w:style>
  <w:style w:type="paragraph" w:customStyle="1" w:styleId="2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5">
    <w:name w:val="页眉 字符"/>
    <w:basedOn w:val="20"/>
    <w:link w:val="13"/>
    <w:qFormat/>
    <w:uiPriority w:val="99"/>
    <w:rPr>
      <w:sz w:val="18"/>
      <w:szCs w:val="18"/>
    </w:rPr>
  </w:style>
  <w:style w:type="character" w:customStyle="1" w:styleId="26">
    <w:name w:val="页脚 字符"/>
    <w:basedOn w:val="20"/>
    <w:link w:val="12"/>
    <w:qFormat/>
    <w:uiPriority w:val="99"/>
    <w:rPr>
      <w:sz w:val="18"/>
      <w:szCs w:val="18"/>
    </w:rPr>
  </w:style>
  <w:style w:type="character" w:customStyle="1" w:styleId="27">
    <w:name w:val="标题 2 字符"/>
    <w:basedOn w:val="20"/>
    <w:link w:val="4"/>
    <w:semiHidden/>
    <w:qFormat/>
    <w:uiPriority w:val="9"/>
    <w:rPr>
      <w:rFonts w:asciiTheme="majorHAnsi" w:hAnsiTheme="majorHAnsi" w:eastAsiaTheme="majorEastAsia" w:cstheme="majorBidi"/>
      <w:b/>
      <w:bCs/>
      <w:sz w:val="32"/>
      <w:szCs w:val="32"/>
    </w:rPr>
  </w:style>
  <w:style w:type="character" w:customStyle="1" w:styleId="28">
    <w:name w:val="标题 3 字符"/>
    <w:basedOn w:val="20"/>
    <w:link w:val="5"/>
    <w:semiHidden/>
    <w:qFormat/>
    <w:uiPriority w:val="9"/>
    <w:rPr>
      <w:b/>
      <w:bCs/>
      <w:sz w:val="32"/>
      <w:szCs w:val="32"/>
    </w:rPr>
  </w:style>
  <w:style w:type="character" w:customStyle="1" w:styleId="29">
    <w:name w:val="标题 5 字符"/>
    <w:basedOn w:val="20"/>
    <w:link w:val="6"/>
    <w:qFormat/>
    <w:uiPriority w:val="9"/>
    <w:rPr>
      <w:rFonts w:asciiTheme="majorHAnsi" w:hAnsiTheme="majorHAnsi" w:eastAsiaTheme="majorEastAsia" w:cstheme="majorBidi"/>
      <w:color w:val="2E75B6" w:themeColor="accent1" w:themeShade="BF"/>
      <w:kern w:val="0"/>
      <w:sz w:val="22"/>
    </w:rPr>
  </w:style>
  <w:style w:type="character" w:customStyle="1" w:styleId="30">
    <w:name w:val="批注文字 字符"/>
    <w:basedOn w:val="20"/>
    <w:link w:val="7"/>
    <w:qFormat/>
    <w:uiPriority w:val="0"/>
    <w:rPr>
      <w:rFonts w:ascii="Times New Roman" w:hAnsi="Times New Roman" w:eastAsia="宋体" w:cs="Times New Roman"/>
      <w:szCs w:val="24"/>
    </w:rPr>
  </w:style>
  <w:style w:type="character" w:customStyle="1" w:styleId="31">
    <w:name w:val="正文文本缩进 字符"/>
    <w:basedOn w:val="20"/>
    <w:link w:val="8"/>
    <w:semiHidden/>
    <w:qFormat/>
    <w:uiPriority w:val="99"/>
  </w:style>
  <w:style w:type="character" w:customStyle="1" w:styleId="32">
    <w:name w:val="纯文本 字符"/>
    <w:basedOn w:val="20"/>
    <w:link w:val="9"/>
    <w:qFormat/>
    <w:uiPriority w:val="0"/>
    <w:rPr>
      <w:rFonts w:ascii="宋体" w:hAnsi="Courier New" w:eastAsia="宋体" w:cs="Courier New"/>
      <w:szCs w:val="21"/>
    </w:rPr>
  </w:style>
  <w:style w:type="character" w:customStyle="1" w:styleId="33">
    <w:name w:val="正文文本缩进 2 字符"/>
    <w:basedOn w:val="20"/>
    <w:link w:val="10"/>
    <w:qFormat/>
    <w:uiPriority w:val="0"/>
  </w:style>
  <w:style w:type="character" w:customStyle="1" w:styleId="34">
    <w:name w:val="批注框文本 字符"/>
    <w:basedOn w:val="20"/>
    <w:link w:val="11"/>
    <w:semiHidden/>
    <w:qFormat/>
    <w:uiPriority w:val="99"/>
    <w:rPr>
      <w:sz w:val="18"/>
      <w:szCs w:val="18"/>
    </w:rPr>
  </w:style>
  <w:style w:type="character" w:customStyle="1" w:styleId="35">
    <w:name w:val="正文文本缩进 3 字符"/>
    <w:basedOn w:val="20"/>
    <w:link w:val="15"/>
    <w:qFormat/>
    <w:uiPriority w:val="99"/>
    <w:rPr>
      <w:kern w:val="0"/>
      <w:sz w:val="16"/>
      <w:szCs w:val="16"/>
    </w:rPr>
  </w:style>
  <w:style w:type="character" w:customStyle="1" w:styleId="36">
    <w:name w:val="标题 字符"/>
    <w:basedOn w:val="20"/>
    <w:link w:val="17"/>
    <w:qFormat/>
    <w:uiPriority w:val="0"/>
    <w:rPr>
      <w:rFonts w:ascii="Cambria" w:hAnsi="Cambria" w:eastAsia="宋体" w:cs="Times New Roman"/>
      <w:b/>
      <w:bCs/>
      <w:sz w:val="32"/>
      <w:szCs w:val="32"/>
    </w:rPr>
  </w:style>
  <w:style w:type="paragraph" w:customStyle="1" w:styleId="37">
    <w:name w:val="列出段落1"/>
    <w:basedOn w:val="1"/>
    <w:qFormat/>
    <w:uiPriority w:val="34"/>
    <w:pPr>
      <w:ind w:firstLine="420" w:firstLineChars="200"/>
    </w:pPr>
    <w:rPr>
      <w:rFonts w:ascii="Calibri" w:hAnsi="Calibri" w:eastAsia="宋体" w:cs="Times New Roman"/>
    </w:rPr>
  </w:style>
  <w:style w:type="character" w:customStyle="1" w:styleId="38">
    <w:name w:val="标题 5 Char"/>
    <w:basedOn w:val="20"/>
    <w:semiHidden/>
    <w:qFormat/>
    <w:uiPriority w:val="9"/>
    <w:rPr>
      <w:b/>
      <w:bCs/>
      <w:sz w:val="28"/>
      <w:szCs w:val="28"/>
    </w:rPr>
  </w:style>
  <w:style w:type="character" w:customStyle="1" w:styleId="39">
    <w:name w:val="正文文本缩进 3 Char"/>
    <w:basedOn w:val="20"/>
    <w:semiHidden/>
    <w:qFormat/>
    <w:uiPriority w:val="99"/>
    <w:rPr>
      <w:sz w:val="16"/>
      <w:szCs w:val="16"/>
    </w:rPr>
  </w:style>
  <w:style w:type="paragraph" w:styleId="40">
    <w:name w:val="List Paragraph"/>
    <w:basedOn w:val="1"/>
    <w:qFormat/>
    <w:uiPriority w:val="34"/>
    <w:pPr>
      <w:ind w:firstLine="420" w:firstLineChars="200"/>
    </w:pPr>
  </w:style>
  <w:style w:type="paragraph" w:customStyle="1" w:styleId="41">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4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3">
    <w:name w:val="apple-converted-space"/>
    <w:basedOn w:val="20"/>
    <w:qFormat/>
    <w:uiPriority w:val="0"/>
  </w:style>
  <w:style w:type="paragraph" w:styleId="4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font21"/>
    <w:basedOn w:val="20"/>
    <w:qFormat/>
    <w:uiPriority w:val="0"/>
    <w:rPr>
      <w:rFonts w:hint="eastAsia" w:ascii="宋体" w:hAnsi="宋体" w:eastAsia="宋体" w:cs="宋体"/>
      <w:color w:val="000000"/>
      <w:sz w:val="21"/>
      <w:szCs w:val="21"/>
      <w:u w:val="none"/>
    </w:rPr>
  </w:style>
  <w:style w:type="character" w:customStyle="1" w:styleId="46">
    <w:name w:val="font31"/>
    <w:basedOn w:val="20"/>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3344</Words>
  <Characters>19067</Characters>
  <Lines>158</Lines>
  <Paragraphs>44</Paragraphs>
  <TotalTime>86</TotalTime>
  <ScaleCrop>false</ScaleCrop>
  <LinksUpToDate>false</LinksUpToDate>
  <CharactersWithSpaces>22367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2021-03-30T08:16:00Z</dcterms:created>
  <dc:creator>vn1470@vip365.tech</dc:creator>
  <cp:lastModifiedBy>林煜韩</cp:lastModifiedBy>
  <cp:lastPrinted>2021-04-02T03:35:00Z</cp:lastPrinted>
  <dcterms:modified xsi:type="dcterms:W3CDTF">2021-04-23T07:42:50Z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